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37AA" w14:textId="2BF4938A" w:rsidR="002B6AC0" w:rsidRPr="00766473" w:rsidRDefault="004E6D92">
      <w:pPr>
        <w:rPr>
          <w:sz w:val="32"/>
          <w:szCs w:val="32"/>
          <w:lang w:val="en-US"/>
        </w:rPr>
      </w:pPr>
      <w:bookmarkStart w:id="0" w:name="_GoBack"/>
      <w:bookmarkEnd w:id="0"/>
      <w:r w:rsidRPr="00766473">
        <w:rPr>
          <w:sz w:val="32"/>
          <w:szCs w:val="32"/>
          <w:lang w:val="en-US"/>
        </w:rPr>
        <w:t>Suspension</w:t>
      </w:r>
      <w:r w:rsidR="00C9151C">
        <w:rPr>
          <w:sz w:val="32"/>
          <w:szCs w:val="32"/>
          <w:lang w:val="en-US"/>
        </w:rPr>
        <w:t xml:space="preserve"> and restoration of market activities</w:t>
      </w:r>
      <w:r w:rsidRPr="00766473">
        <w:rPr>
          <w:sz w:val="32"/>
          <w:szCs w:val="32"/>
          <w:lang w:val="en-US"/>
        </w:rPr>
        <w:br/>
      </w:r>
    </w:p>
    <w:p w14:paraId="1F1B37AB" w14:textId="77777777" w:rsidR="00985550" w:rsidRPr="00766473" w:rsidRDefault="00985550" w:rsidP="00985550">
      <w:pPr>
        <w:rPr>
          <w:sz w:val="28"/>
          <w:szCs w:val="28"/>
          <w:lang w:val="en-US"/>
        </w:rPr>
      </w:pPr>
      <w:r w:rsidRPr="00766473">
        <w:rPr>
          <w:sz w:val="28"/>
          <w:szCs w:val="28"/>
          <w:lang w:val="en-US"/>
        </w:rPr>
        <w:t>Introduction</w:t>
      </w:r>
    </w:p>
    <w:p w14:paraId="1F1B37AC" w14:textId="65F192D3" w:rsidR="00985550" w:rsidRPr="00766473" w:rsidRDefault="00985550" w:rsidP="00985550">
      <w:pPr>
        <w:rPr>
          <w:sz w:val="28"/>
          <w:szCs w:val="28"/>
          <w:lang w:val="en-US"/>
        </w:rPr>
      </w:pPr>
      <w:r w:rsidRPr="00766473">
        <w:rPr>
          <w:sz w:val="24"/>
          <w:szCs w:val="24"/>
          <w:lang w:val="en-US"/>
        </w:rPr>
        <w:t xml:space="preserve">Article 35.2 </w:t>
      </w:r>
      <w:r w:rsidR="00DA497C">
        <w:rPr>
          <w:sz w:val="24"/>
          <w:szCs w:val="24"/>
          <w:lang w:val="en-US"/>
        </w:rPr>
        <w:t xml:space="preserve">and 37 </w:t>
      </w:r>
      <w:r w:rsidRPr="00766473">
        <w:rPr>
          <w:sz w:val="24"/>
          <w:szCs w:val="24"/>
          <w:lang w:val="en-US"/>
        </w:rPr>
        <w:t xml:space="preserve">define market activities that may be suspended and restored. The first five (a-e) are related to activities related to transfer of data from one entity to another. </w:t>
      </w:r>
      <w:r w:rsidR="00E259F9">
        <w:rPr>
          <w:sz w:val="24"/>
          <w:szCs w:val="24"/>
          <w:lang w:val="en-US"/>
        </w:rPr>
        <w:t>E</w:t>
      </w:r>
      <w:r w:rsidRPr="00766473">
        <w:rPr>
          <w:sz w:val="24"/>
          <w:szCs w:val="24"/>
          <w:lang w:val="en-US"/>
        </w:rPr>
        <w:t xml:space="preserve">ach TSO needs to assess whether there are additional rights or obligations </w:t>
      </w:r>
      <w:r w:rsidR="003757FA">
        <w:rPr>
          <w:sz w:val="24"/>
          <w:szCs w:val="24"/>
          <w:lang w:val="en-US"/>
        </w:rPr>
        <w:t xml:space="preserve">for both TSOs and market parties </w:t>
      </w:r>
      <w:r w:rsidRPr="00766473">
        <w:rPr>
          <w:sz w:val="24"/>
          <w:szCs w:val="24"/>
          <w:lang w:val="en-US"/>
        </w:rPr>
        <w:t xml:space="preserve">due to </w:t>
      </w:r>
      <w:r w:rsidR="00AB2F19" w:rsidRPr="00766473">
        <w:rPr>
          <w:sz w:val="24"/>
          <w:szCs w:val="24"/>
          <w:lang w:val="en-US"/>
        </w:rPr>
        <w:t xml:space="preserve">suspension of </w:t>
      </w:r>
      <w:r w:rsidRPr="00766473">
        <w:rPr>
          <w:sz w:val="24"/>
          <w:szCs w:val="24"/>
          <w:lang w:val="en-US"/>
        </w:rPr>
        <w:t>submission of this data</w:t>
      </w:r>
      <w:r w:rsidR="003757FA">
        <w:rPr>
          <w:sz w:val="24"/>
          <w:szCs w:val="24"/>
          <w:lang w:val="en-US"/>
        </w:rPr>
        <w:t xml:space="preserve"> (i.e. suspension of market activities)</w:t>
      </w:r>
      <w:r w:rsidRPr="00766473">
        <w:rPr>
          <w:sz w:val="24"/>
          <w:szCs w:val="24"/>
          <w:lang w:val="en-US"/>
        </w:rPr>
        <w:t xml:space="preserve">. </w:t>
      </w:r>
    </w:p>
    <w:p w14:paraId="1F1B37AD" w14:textId="64DD45D8" w:rsidR="004E6D92" w:rsidRPr="00766473" w:rsidRDefault="00985550" w:rsidP="00985550">
      <w:pPr>
        <w:rPr>
          <w:sz w:val="24"/>
          <w:szCs w:val="24"/>
          <w:lang w:val="en-US"/>
        </w:rPr>
      </w:pPr>
      <w:r w:rsidRPr="00766473">
        <w:rPr>
          <w:sz w:val="24"/>
          <w:szCs w:val="24"/>
          <w:lang w:val="en-US"/>
        </w:rPr>
        <w:t xml:space="preserve">The sixth and last one (f) relates to "other relevant market activities the suspension of which is deemed necessary to preserve and/or restore the system". Hereunder follows a list of other market activities for which it will be indicated whether they </w:t>
      </w:r>
      <w:r w:rsidR="00BF78F1">
        <w:rPr>
          <w:sz w:val="24"/>
          <w:szCs w:val="24"/>
          <w:lang w:val="en-US"/>
        </w:rPr>
        <w:t xml:space="preserve">may </w:t>
      </w:r>
      <w:r w:rsidRPr="00766473">
        <w:rPr>
          <w:sz w:val="24"/>
          <w:szCs w:val="24"/>
          <w:lang w:val="en-US"/>
        </w:rPr>
        <w:t>be suspended or not during emergency, blackout or restoration system state</w:t>
      </w:r>
      <w:r w:rsidRPr="00766473">
        <w:rPr>
          <w:sz w:val="28"/>
          <w:szCs w:val="28"/>
          <w:lang w:val="en-US"/>
        </w:rPr>
        <w:t>.</w:t>
      </w:r>
      <w:r w:rsidR="00BF78F1">
        <w:rPr>
          <w:sz w:val="28"/>
          <w:szCs w:val="28"/>
          <w:lang w:val="en-US"/>
        </w:rPr>
        <w:t xml:space="preserve"> </w:t>
      </w:r>
      <w:r w:rsidR="00BF78F1" w:rsidRPr="00BF78F1">
        <w:rPr>
          <w:sz w:val="24"/>
          <w:szCs w:val="24"/>
          <w:lang w:val="en-US"/>
        </w:rPr>
        <w:t>It is explicitly mentioned that TSOs can deviate from this guidance as the</w:t>
      </w:r>
      <w:r w:rsidR="00BF78F1">
        <w:rPr>
          <w:sz w:val="24"/>
          <w:szCs w:val="24"/>
          <w:lang w:val="en-US"/>
        </w:rPr>
        <w:t>y</w:t>
      </w:r>
      <w:r w:rsidR="00BF78F1" w:rsidRPr="00BF78F1">
        <w:rPr>
          <w:sz w:val="24"/>
          <w:szCs w:val="24"/>
          <w:lang w:val="en-US"/>
        </w:rPr>
        <w:t xml:space="preserve"> think appropriate.</w:t>
      </w:r>
    </w:p>
    <w:p w14:paraId="1F1B37AE" w14:textId="77777777" w:rsidR="004E6D92" w:rsidRPr="00766473" w:rsidRDefault="004E6D92" w:rsidP="004E6D92">
      <w:pPr>
        <w:rPr>
          <w:sz w:val="28"/>
          <w:szCs w:val="28"/>
          <w:lang w:val="en-US"/>
        </w:rPr>
      </w:pPr>
      <w:r w:rsidRPr="00766473">
        <w:rPr>
          <w:sz w:val="28"/>
          <w:szCs w:val="28"/>
          <w:lang w:val="en-US"/>
        </w:rPr>
        <w:t>Other market activities</w:t>
      </w:r>
    </w:p>
    <w:p w14:paraId="1B11DE88" w14:textId="17CD4CC2" w:rsidR="00D85793" w:rsidRPr="00D85793" w:rsidRDefault="004E6D92" w:rsidP="00500DA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85793">
        <w:rPr>
          <w:i/>
          <w:sz w:val="24"/>
          <w:szCs w:val="24"/>
          <w:lang w:val="en-US"/>
        </w:rPr>
        <w:t>Long term capacity allocation</w:t>
      </w:r>
      <w:r w:rsidRPr="00D85793">
        <w:rPr>
          <w:sz w:val="24"/>
          <w:szCs w:val="24"/>
          <w:lang w:val="en-US"/>
        </w:rPr>
        <w:t xml:space="preserve">. </w:t>
      </w:r>
      <w:r w:rsidR="00985550" w:rsidRPr="00D85793">
        <w:rPr>
          <w:sz w:val="24"/>
          <w:szCs w:val="24"/>
          <w:lang w:val="en-US"/>
        </w:rPr>
        <w:t xml:space="preserve">This activity does not have to be suspended as it </w:t>
      </w:r>
      <w:r w:rsidR="00985550" w:rsidRPr="00D85793">
        <w:rPr>
          <w:color w:val="000000"/>
          <w:sz w:val="24"/>
          <w:szCs w:val="24"/>
          <w:lang w:val="en-US"/>
        </w:rPr>
        <w:t>won't affect the system state.</w:t>
      </w:r>
      <w:r w:rsidR="008C1B64" w:rsidRPr="00D85793">
        <w:rPr>
          <w:color w:val="000000"/>
          <w:sz w:val="24"/>
          <w:szCs w:val="24"/>
          <w:lang w:val="en-US"/>
        </w:rPr>
        <w:t xml:space="preserve"> Besides, this leaves open the possibility of postponing any </w:t>
      </w:r>
      <w:r w:rsidR="00092B05">
        <w:rPr>
          <w:color w:val="000000"/>
          <w:sz w:val="24"/>
          <w:szCs w:val="24"/>
          <w:lang w:val="en-US"/>
        </w:rPr>
        <w:t>long-term</w:t>
      </w:r>
      <w:r w:rsidR="00092B05" w:rsidRPr="00D85793">
        <w:rPr>
          <w:color w:val="000000"/>
          <w:sz w:val="24"/>
          <w:szCs w:val="24"/>
          <w:lang w:val="en-US"/>
        </w:rPr>
        <w:t xml:space="preserve"> </w:t>
      </w:r>
      <w:r w:rsidR="008C1B64" w:rsidRPr="00D85793">
        <w:rPr>
          <w:color w:val="000000"/>
          <w:sz w:val="24"/>
          <w:szCs w:val="24"/>
          <w:lang w:val="en-US"/>
        </w:rPr>
        <w:t>auction by the J</w:t>
      </w:r>
      <w:r w:rsidR="00092B05">
        <w:rPr>
          <w:color w:val="000000"/>
          <w:sz w:val="24"/>
          <w:szCs w:val="24"/>
          <w:lang w:val="en-US"/>
        </w:rPr>
        <w:t xml:space="preserve">oint </w:t>
      </w:r>
      <w:r w:rsidR="008C1B64" w:rsidRPr="00D85793">
        <w:rPr>
          <w:color w:val="000000"/>
          <w:sz w:val="24"/>
          <w:szCs w:val="24"/>
          <w:lang w:val="en-US"/>
        </w:rPr>
        <w:t>A</w:t>
      </w:r>
      <w:r w:rsidR="00092B05">
        <w:rPr>
          <w:color w:val="000000"/>
          <w:sz w:val="24"/>
          <w:szCs w:val="24"/>
          <w:lang w:val="en-US"/>
        </w:rPr>
        <w:t xml:space="preserve">uction </w:t>
      </w:r>
      <w:r w:rsidR="008C1B64" w:rsidRPr="00D85793">
        <w:rPr>
          <w:color w:val="000000"/>
          <w:sz w:val="24"/>
          <w:szCs w:val="24"/>
          <w:lang w:val="en-US"/>
        </w:rPr>
        <w:t>O</w:t>
      </w:r>
      <w:r w:rsidR="00092B05">
        <w:rPr>
          <w:color w:val="000000"/>
          <w:sz w:val="24"/>
          <w:szCs w:val="24"/>
          <w:lang w:val="en-US"/>
        </w:rPr>
        <w:t>ffice</w:t>
      </w:r>
      <w:r w:rsidR="008C1B64" w:rsidRPr="00D85793">
        <w:rPr>
          <w:color w:val="000000"/>
          <w:sz w:val="24"/>
          <w:szCs w:val="24"/>
          <w:lang w:val="en-US"/>
        </w:rPr>
        <w:t xml:space="preserve"> in cooperation with the relevant TSOs.</w:t>
      </w:r>
      <w:r w:rsidR="004B014B">
        <w:rPr>
          <w:color w:val="000000"/>
          <w:sz w:val="24"/>
          <w:szCs w:val="24"/>
          <w:lang w:val="en-US"/>
        </w:rPr>
        <w:t xml:space="preserve"> It is also noted that TSOs have other tools to mitigate these issues: capacity curtailment and the application of Reduction Periods.</w:t>
      </w:r>
    </w:p>
    <w:p w14:paraId="1F1B37B0" w14:textId="6648CB78" w:rsidR="00500DA3" w:rsidRPr="00AA03FA" w:rsidRDefault="00645F30" w:rsidP="00A6713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A03FA">
        <w:rPr>
          <w:i/>
          <w:sz w:val="24"/>
          <w:szCs w:val="24"/>
          <w:lang w:val="en-US"/>
        </w:rPr>
        <w:t>Day ahead market coupling</w:t>
      </w:r>
      <w:r w:rsidRPr="00AA03FA">
        <w:rPr>
          <w:sz w:val="24"/>
          <w:szCs w:val="24"/>
          <w:lang w:val="en-US"/>
        </w:rPr>
        <w:t xml:space="preserve">. </w:t>
      </w:r>
      <w:r w:rsidR="00A6713D" w:rsidRPr="00AA03FA">
        <w:rPr>
          <w:sz w:val="24"/>
          <w:szCs w:val="24"/>
          <w:lang w:val="en-US"/>
        </w:rPr>
        <w:t xml:space="preserve">Countries that are not affected by blackouts or emergencies are keeping the day ahead market coupling running. </w:t>
      </w:r>
      <w:r w:rsidR="00EF4405" w:rsidRPr="00AA03FA">
        <w:rPr>
          <w:sz w:val="24"/>
          <w:szCs w:val="24"/>
          <w:lang w:val="en-US"/>
        </w:rPr>
        <w:t xml:space="preserve">In case of blackouts or emergencies, TSOs will apply </w:t>
      </w:r>
      <w:r w:rsidR="00A6713D" w:rsidRPr="00AA03FA">
        <w:rPr>
          <w:sz w:val="24"/>
          <w:szCs w:val="24"/>
          <w:lang w:val="en-US"/>
        </w:rPr>
        <w:t xml:space="preserve">the </w:t>
      </w:r>
      <w:r w:rsidR="00EF4405" w:rsidRPr="00AA03FA">
        <w:rPr>
          <w:sz w:val="24"/>
          <w:szCs w:val="24"/>
          <w:lang w:val="en-US"/>
        </w:rPr>
        <w:t xml:space="preserve">appropriate </w:t>
      </w:r>
      <w:r w:rsidR="00A6713D" w:rsidRPr="00AA03FA">
        <w:rPr>
          <w:sz w:val="24"/>
          <w:szCs w:val="24"/>
          <w:lang w:val="en-US"/>
        </w:rPr>
        <w:t>single day ahead coupling procedures</w:t>
      </w:r>
      <w:r w:rsidR="00EF4405" w:rsidRPr="00AA03FA">
        <w:rPr>
          <w:sz w:val="24"/>
          <w:szCs w:val="24"/>
          <w:lang w:val="en-US"/>
        </w:rPr>
        <w:t xml:space="preserve"> (e.g. partial decoupling</w:t>
      </w:r>
      <w:r w:rsidR="00415EB0">
        <w:rPr>
          <w:rStyle w:val="FootnoteReference"/>
          <w:sz w:val="24"/>
          <w:szCs w:val="24"/>
          <w:lang w:val="en-US"/>
        </w:rPr>
        <w:footnoteReference w:id="1"/>
      </w:r>
      <w:r w:rsidR="00EF4405" w:rsidRPr="00AA03FA">
        <w:rPr>
          <w:sz w:val="24"/>
          <w:szCs w:val="24"/>
          <w:lang w:val="en-US"/>
        </w:rPr>
        <w:t>).</w:t>
      </w:r>
      <w:r w:rsidR="00A6713D" w:rsidRPr="00AA03FA">
        <w:rPr>
          <w:sz w:val="24"/>
          <w:szCs w:val="24"/>
          <w:lang w:val="en-US"/>
        </w:rPr>
        <w:t xml:space="preserve"> </w:t>
      </w:r>
      <w:r w:rsidR="00EF4405" w:rsidRPr="00AA03FA">
        <w:rPr>
          <w:sz w:val="24"/>
          <w:szCs w:val="24"/>
          <w:lang w:val="en-US"/>
        </w:rPr>
        <w:t xml:space="preserve">The single day ahead coupling should not deteriorate restoration processes. </w:t>
      </w:r>
      <w:r w:rsidR="00AA03FA">
        <w:rPr>
          <w:sz w:val="24"/>
          <w:szCs w:val="24"/>
          <w:lang w:val="en-US"/>
        </w:rPr>
        <w:t>Please note that following these procedures ultimately may result in suspending the day ahead market coupling for a country or TSO.</w:t>
      </w:r>
    </w:p>
    <w:p w14:paraId="1586313E" w14:textId="0D50DCD7" w:rsidR="00EF4405" w:rsidRPr="00EF4405" w:rsidRDefault="00500DA3" w:rsidP="00EF44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F4405">
        <w:rPr>
          <w:i/>
          <w:sz w:val="24"/>
          <w:szCs w:val="24"/>
          <w:lang w:val="en-US"/>
        </w:rPr>
        <w:t>Intraday market coupling</w:t>
      </w:r>
      <w:r w:rsidRPr="00EF4405">
        <w:rPr>
          <w:sz w:val="24"/>
          <w:szCs w:val="24"/>
          <w:lang w:val="en-US"/>
        </w:rPr>
        <w:t>.</w:t>
      </w:r>
      <w:r w:rsidR="00EF4405">
        <w:rPr>
          <w:sz w:val="24"/>
          <w:szCs w:val="24"/>
          <w:lang w:val="en-US"/>
        </w:rPr>
        <w:t xml:space="preserve"> </w:t>
      </w:r>
      <w:r w:rsidR="00EF4405" w:rsidRPr="00EF4405">
        <w:rPr>
          <w:sz w:val="24"/>
          <w:szCs w:val="24"/>
          <w:lang w:val="en-US"/>
        </w:rPr>
        <w:t xml:space="preserve">Countries that are not affected by blackouts or emergencies are keeping the </w:t>
      </w:r>
      <w:r w:rsidR="00EF4405">
        <w:rPr>
          <w:sz w:val="24"/>
          <w:szCs w:val="24"/>
          <w:lang w:val="en-US"/>
        </w:rPr>
        <w:t>intra</w:t>
      </w:r>
      <w:r w:rsidR="00EF4405" w:rsidRPr="00EF4405">
        <w:rPr>
          <w:sz w:val="24"/>
          <w:szCs w:val="24"/>
          <w:lang w:val="en-US"/>
        </w:rPr>
        <w:t xml:space="preserve">day market coupling running. In case of blackouts or emergencies, TSOs will apply the appropriate single </w:t>
      </w:r>
      <w:r w:rsidR="00EF4405">
        <w:rPr>
          <w:sz w:val="24"/>
          <w:szCs w:val="24"/>
          <w:lang w:val="en-US"/>
        </w:rPr>
        <w:t>intra</w:t>
      </w:r>
      <w:r w:rsidR="00EF4405" w:rsidRPr="00EF4405">
        <w:rPr>
          <w:sz w:val="24"/>
          <w:szCs w:val="24"/>
          <w:lang w:val="en-US"/>
        </w:rPr>
        <w:t xml:space="preserve">day </w:t>
      </w:r>
      <w:r w:rsidR="008F3BB6">
        <w:rPr>
          <w:sz w:val="24"/>
          <w:szCs w:val="24"/>
          <w:lang w:val="en-US"/>
        </w:rPr>
        <w:t xml:space="preserve">market </w:t>
      </w:r>
      <w:r w:rsidR="00EF4405" w:rsidRPr="00EF4405">
        <w:rPr>
          <w:sz w:val="24"/>
          <w:szCs w:val="24"/>
          <w:lang w:val="en-US"/>
        </w:rPr>
        <w:t xml:space="preserve">coupling procedures. The single </w:t>
      </w:r>
      <w:r w:rsidR="008F3BB6">
        <w:rPr>
          <w:sz w:val="24"/>
          <w:szCs w:val="24"/>
          <w:lang w:val="en-US"/>
        </w:rPr>
        <w:t xml:space="preserve">intraday market </w:t>
      </w:r>
      <w:r w:rsidR="00EF4405" w:rsidRPr="00EF4405">
        <w:rPr>
          <w:sz w:val="24"/>
          <w:szCs w:val="24"/>
          <w:lang w:val="en-US"/>
        </w:rPr>
        <w:lastRenderedPageBreak/>
        <w:t xml:space="preserve">coupling should not deteriorate restoration processes. </w:t>
      </w:r>
      <w:r w:rsidR="00AA03FA">
        <w:rPr>
          <w:sz w:val="24"/>
          <w:szCs w:val="24"/>
          <w:lang w:val="en-US"/>
        </w:rPr>
        <w:t>Please note that following these procedures ultimately may result in suspending the intraday market coupling for a country or TSO.</w:t>
      </w:r>
    </w:p>
    <w:p w14:paraId="5F5D10A1" w14:textId="6D3B327F" w:rsidR="00A75949" w:rsidRPr="00A75949" w:rsidRDefault="00A75949" w:rsidP="00A759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Intraday market parties' trading on a PX platform within a Bidding Zone.</w:t>
      </w:r>
      <w:r>
        <w:rPr>
          <w:sz w:val="24"/>
          <w:szCs w:val="24"/>
          <w:lang w:val="en-US"/>
        </w:rPr>
        <w:t xml:space="preserve"> This activity can be suspended and restored upon the discretion of each individual TSO. </w:t>
      </w:r>
    </w:p>
    <w:p w14:paraId="1F1B37B2" w14:textId="5BE3243E" w:rsidR="00985550" w:rsidRPr="00A75949" w:rsidRDefault="00964F88" w:rsidP="00A759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75949">
        <w:rPr>
          <w:i/>
          <w:sz w:val="24"/>
          <w:szCs w:val="24"/>
          <w:lang w:val="en-US"/>
        </w:rPr>
        <w:t>Balancing markets</w:t>
      </w:r>
      <w:r w:rsidRPr="00A75949">
        <w:rPr>
          <w:sz w:val="24"/>
          <w:szCs w:val="24"/>
          <w:lang w:val="en-US"/>
        </w:rPr>
        <w:t xml:space="preserve">. </w:t>
      </w:r>
      <w:r w:rsidR="008C20EB">
        <w:rPr>
          <w:sz w:val="24"/>
          <w:szCs w:val="24"/>
          <w:lang w:val="en-US"/>
        </w:rPr>
        <w:t xml:space="preserve"> </w:t>
      </w:r>
      <w:r w:rsidR="00D9737F">
        <w:rPr>
          <w:sz w:val="24"/>
          <w:szCs w:val="24"/>
          <w:lang w:val="en-US"/>
        </w:rPr>
        <w:t xml:space="preserve">For the smooth market </w:t>
      </w:r>
      <w:proofErr w:type="gramStart"/>
      <w:r w:rsidR="00D9737F">
        <w:rPr>
          <w:sz w:val="24"/>
          <w:szCs w:val="24"/>
          <w:lang w:val="en-US"/>
        </w:rPr>
        <w:t>restoration</w:t>
      </w:r>
      <w:proofErr w:type="gramEnd"/>
      <w:r w:rsidR="00D9737F">
        <w:rPr>
          <w:sz w:val="24"/>
          <w:szCs w:val="24"/>
          <w:lang w:val="en-US"/>
        </w:rPr>
        <w:t xml:space="preserve"> i</w:t>
      </w:r>
      <w:r w:rsidR="00A92C30">
        <w:rPr>
          <w:sz w:val="24"/>
          <w:szCs w:val="24"/>
          <w:lang w:val="en-US"/>
        </w:rPr>
        <w:t>t is advised that the balancing markets is kept running at all times</w:t>
      </w:r>
      <w:r w:rsidR="00B67D6A">
        <w:rPr>
          <w:sz w:val="24"/>
          <w:szCs w:val="24"/>
          <w:lang w:val="en-US"/>
        </w:rPr>
        <w:t xml:space="preserve"> (at least in order to maintain receiving bids that relate to future timeframes in which the emergency or black-out is solved)</w:t>
      </w:r>
      <w:r w:rsidR="00067BBE">
        <w:rPr>
          <w:sz w:val="24"/>
          <w:szCs w:val="24"/>
          <w:lang w:val="en-US"/>
        </w:rPr>
        <w:t xml:space="preserve">, </w:t>
      </w:r>
      <w:r w:rsidR="00067BBE" w:rsidRPr="00067BBE">
        <w:rPr>
          <w:sz w:val="24"/>
          <w:szCs w:val="24"/>
          <w:lang w:val="en-US"/>
        </w:rPr>
        <w:t>if this is possible and makes sense in the framework of national procurement rules</w:t>
      </w:r>
      <w:r w:rsidR="004466F1">
        <w:rPr>
          <w:sz w:val="24"/>
          <w:szCs w:val="24"/>
          <w:lang w:val="en-US"/>
        </w:rPr>
        <w:t xml:space="preserve">. </w:t>
      </w:r>
      <w:r w:rsidR="000A1E81">
        <w:rPr>
          <w:sz w:val="24"/>
          <w:szCs w:val="24"/>
          <w:lang w:val="en-US"/>
        </w:rPr>
        <w:t>Please note that it might be necessary to suspend some activities, for example submitting bids to a European balancing platform.</w:t>
      </w:r>
    </w:p>
    <w:p w14:paraId="1F1B37B3" w14:textId="74DE7574" w:rsidR="00985550" w:rsidRPr="004701D1" w:rsidRDefault="00985550" w:rsidP="004E6D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66473">
        <w:rPr>
          <w:i/>
          <w:color w:val="000000"/>
          <w:sz w:val="24"/>
          <w:szCs w:val="24"/>
          <w:lang w:val="en-US"/>
        </w:rPr>
        <w:t>OTC-trade</w:t>
      </w:r>
      <w:r w:rsidRPr="00766473">
        <w:rPr>
          <w:color w:val="000000"/>
          <w:sz w:val="24"/>
          <w:szCs w:val="24"/>
          <w:lang w:val="en-US"/>
        </w:rPr>
        <w:t>.</w:t>
      </w:r>
      <w:r w:rsidR="00FD191F">
        <w:rPr>
          <w:color w:val="000000"/>
          <w:sz w:val="24"/>
          <w:szCs w:val="24"/>
          <w:lang w:val="en-US"/>
        </w:rPr>
        <w:t xml:space="preserve"> </w:t>
      </w:r>
      <w:r w:rsidR="001162AF">
        <w:rPr>
          <w:color w:val="000000"/>
          <w:sz w:val="24"/>
          <w:szCs w:val="24"/>
          <w:lang w:val="en-US"/>
        </w:rPr>
        <w:t xml:space="preserve">OTC trades </w:t>
      </w:r>
      <w:r w:rsidR="00092B05">
        <w:rPr>
          <w:color w:val="000000"/>
          <w:sz w:val="24"/>
          <w:szCs w:val="24"/>
          <w:lang w:val="en-US"/>
        </w:rPr>
        <w:t xml:space="preserve">(Over </w:t>
      </w:r>
      <w:proofErr w:type="gramStart"/>
      <w:r w:rsidR="00092B05">
        <w:rPr>
          <w:color w:val="000000"/>
          <w:sz w:val="24"/>
          <w:szCs w:val="24"/>
          <w:lang w:val="en-US"/>
        </w:rPr>
        <w:t>The</w:t>
      </w:r>
      <w:proofErr w:type="gramEnd"/>
      <w:r w:rsidR="00092B05">
        <w:rPr>
          <w:color w:val="000000"/>
          <w:sz w:val="24"/>
          <w:szCs w:val="24"/>
          <w:lang w:val="en-US"/>
        </w:rPr>
        <w:t xml:space="preserve"> Counter Trades</w:t>
      </w:r>
      <w:r w:rsidR="00067BBE">
        <w:rPr>
          <w:color w:val="000000"/>
          <w:sz w:val="24"/>
          <w:szCs w:val="24"/>
          <w:lang w:val="en-US"/>
        </w:rPr>
        <w:t>)</w:t>
      </w:r>
      <w:r w:rsidR="00092B05">
        <w:rPr>
          <w:color w:val="000000"/>
          <w:sz w:val="24"/>
          <w:szCs w:val="24"/>
          <w:lang w:val="en-US"/>
        </w:rPr>
        <w:t xml:space="preserve"> </w:t>
      </w:r>
      <w:r w:rsidR="001162AF">
        <w:rPr>
          <w:color w:val="000000"/>
          <w:sz w:val="24"/>
          <w:szCs w:val="24"/>
          <w:lang w:val="en-US"/>
        </w:rPr>
        <w:t xml:space="preserve">are not organized by TSOs. However, TSOs </w:t>
      </w:r>
      <w:r w:rsidR="001F3D52">
        <w:rPr>
          <w:color w:val="000000"/>
          <w:sz w:val="24"/>
          <w:szCs w:val="24"/>
          <w:lang w:val="en-US"/>
        </w:rPr>
        <w:t>that receive notification</w:t>
      </w:r>
      <w:r w:rsidR="00166B7F">
        <w:rPr>
          <w:rStyle w:val="FootnoteReference"/>
          <w:color w:val="000000"/>
          <w:sz w:val="24"/>
          <w:szCs w:val="24"/>
          <w:lang w:val="en-US"/>
        </w:rPr>
        <w:footnoteReference w:id="2"/>
      </w:r>
      <w:r w:rsidR="001F3D52">
        <w:rPr>
          <w:color w:val="000000"/>
          <w:sz w:val="24"/>
          <w:szCs w:val="24"/>
          <w:lang w:val="en-US"/>
        </w:rPr>
        <w:t xml:space="preserve"> of OTC-trades </w:t>
      </w:r>
      <w:r w:rsidR="001162AF">
        <w:rPr>
          <w:color w:val="000000"/>
          <w:sz w:val="24"/>
          <w:szCs w:val="24"/>
          <w:lang w:val="en-US"/>
        </w:rPr>
        <w:t xml:space="preserve">have the right to reject </w:t>
      </w:r>
      <w:r w:rsidR="001F3D52">
        <w:rPr>
          <w:color w:val="000000"/>
          <w:sz w:val="24"/>
          <w:szCs w:val="24"/>
          <w:lang w:val="en-US"/>
        </w:rPr>
        <w:t>these</w:t>
      </w:r>
      <w:r w:rsidR="00067BBE">
        <w:rPr>
          <w:color w:val="000000"/>
          <w:sz w:val="24"/>
          <w:szCs w:val="24"/>
          <w:lang w:val="en-US"/>
        </w:rPr>
        <w:t>.</w:t>
      </w:r>
    </w:p>
    <w:p w14:paraId="32D6C51F" w14:textId="7234E810" w:rsidR="004701D1" w:rsidRPr="004701D1" w:rsidRDefault="004701D1" w:rsidP="004E6D9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i/>
          <w:color w:val="000000"/>
          <w:sz w:val="24"/>
          <w:szCs w:val="24"/>
          <w:lang w:val="en-US"/>
        </w:rPr>
        <w:t>Imbalance settlement</w:t>
      </w:r>
      <w:r>
        <w:rPr>
          <w:color w:val="000000"/>
          <w:sz w:val="24"/>
          <w:szCs w:val="24"/>
          <w:lang w:val="en-US"/>
        </w:rPr>
        <w:t xml:space="preserve">. Reference to NC ER article 39.1 that stipulates the </w:t>
      </w:r>
      <w:r w:rsidR="008E773D">
        <w:rPr>
          <w:color w:val="000000"/>
          <w:sz w:val="24"/>
          <w:szCs w:val="24"/>
          <w:lang w:val="en-US"/>
        </w:rPr>
        <w:t xml:space="preserve">requirement </w:t>
      </w:r>
      <w:r>
        <w:rPr>
          <w:color w:val="000000"/>
          <w:sz w:val="24"/>
          <w:szCs w:val="24"/>
          <w:lang w:val="en-US"/>
        </w:rPr>
        <w:t>for a TSO to come up with a proposal for imbalance settlement.</w:t>
      </w:r>
    </w:p>
    <w:p w14:paraId="776EE6C3" w14:textId="619A7C73" w:rsidR="00C30A91" w:rsidRPr="00766473" w:rsidRDefault="008E773D" w:rsidP="00985550">
      <w:pPr>
        <w:rPr>
          <w:vanish/>
          <w:sz w:val="24"/>
          <w:szCs w:val="24"/>
          <w:lang w:val="en-US"/>
          <w:specVanish/>
        </w:rPr>
      </w:pPr>
      <w:r>
        <w:rPr>
          <w:color w:val="000000"/>
          <w:sz w:val="24"/>
          <w:szCs w:val="24"/>
          <w:lang w:val="en-US"/>
        </w:rPr>
        <w:t>In case any of these activities are suspended,</w:t>
      </w:r>
      <w:r w:rsidR="00985550" w:rsidRPr="00766473">
        <w:rPr>
          <w:color w:val="000000"/>
          <w:sz w:val="24"/>
          <w:szCs w:val="24"/>
          <w:lang w:val="en-US"/>
        </w:rPr>
        <w:t xml:space="preserve"> </w:t>
      </w:r>
      <w:r w:rsidR="00985550" w:rsidRPr="00766473">
        <w:rPr>
          <w:sz w:val="24"/>
          <w:szCs w:val="24"/>
          <w:lang w:val="en-US"/>
        </w:rPr>
        <w:t xml:space="preserve">it is important to </w:t>
      </w:r>
      <w:r w:rsidR="004701D1">
        <w:rPr>
          <w:sz w:val="24"/>
          <w:szCs w:val="24"/>
          <w:lang w:val="en-US"/>
        </w:rPr>
        <w:t xml:space="preserve">bear in mind that </w:t>
      </w:r>
      <w:r w:rsidR="00CA0FDE">
        <w:rPr>
          <w:sz w:val="24"/>
          <w:szCs w:val="24"/>
          <w:lang w:val="en-US"/>
        </w:rPr>
        <w:t xml:space="preserve">there is a difference between system states and functioning of market activities: a situation could occur </w:t>
      </w:r>
      <w:r w:rsidR="00985550" w:rsidRPr="00766473">
        <w:rPr>
          <w:sz w:val="24"/>
          <w:szCs w:val="24"/>
          <w:lang w:val="en-US"/>
        </w:rPr>
        <w:t>in which the transmission system is back to normal</w:t>
      </w:r>
      <w:r w:rsidR="00CA0FDE">
        <w:rPr>
          <w:sz w:val="24"/>
          <w:szCs w:val="24"/>
          <w:lang w:val="en-US"/>
        </w:rPr>
        <w:t xml:space="preserve"> state</w:t>
      </w:r>
      <w:r w:rsidR="00985550" w:rsidRPr="00766473">
        <w:rPr>
          <w:sz w:val="24"/>
          <w:szCs w:val="24"/>
          <w:lang w:val="en-US"/>
        </w:rPr>
        <w:t>, but the market activity is not restored yet)</w:t>
      </w:r>
      <w:r w:rsidR="00A65C2C">
        <w:rPr>
          <w:rStyle w:val="FootnoteReference"/>
          <w:sz w:val="24"/>
          <w:szCs w:val="24"/>
          <w:lang w:val="en-US"/>
        </w:rPr>
        <w:footnoteReference w:id="3"/>
      </w:r>
      <w:r w:rsidR="00985550" w:rsidRPr="00766473">
        <w:rPr>
          <w:sz w:val="24"/>
          <w:szCs w:val="24"/>
          <w:lang w:val="en-US"/>
        </w:rPr>
        <w:t>.</w:t>
      </w:r>
    </w:p>
    <w:p w14:paraId="1F1B37B4" w14:textId="1F721FEC" w:rsidR="00985550" w:rsidRDefault="00C30A91" w:rsidP="00C30A91">
      <w:pPr>
        <w:rPr>
          <w:sz w:val="24"/>
          <w:szCs w:val="24"/>
          <w:lang w:val="en-US"/>
        </w:rPr>
      </w:pPr>
      <w:r w:rsidRPr="00766473">
        <w:rPr>
          <w:sz w:val="24"/>
          <w:szCs w:val="24"/>
          <w:lang w:val="en-US"/>
        </w:rPr>
        <w:t xml:space="preserve"> </w:t>
      </w:r>
      <w:r w:rsidR="00166B7F">
        <w:rPr>
          <w:sz w:val="24"/>
          <w:szCs w:val="24"/>
          <w:lang w:val="en-US"/>
        </w:rPr>
        <w:t xml:space="preserve"> </w:t>
      </w:r>
    </w:p>
    <w:p w14:paraId="44AA6D9C" w14:textId="77777777" w:rsidR="00330497" w:rsidRDefault="00330497" w:rsidP="00C30A91">
      <w:pPr>
        <w:rPr>
          <w:sz w:val="24"/>
          <w:szCs w:val="24"/>
          <w:lang w:val="en-US"/>
        </w:rPr>
      </w:pPr>
    </w:p>
    <w:p w14:paraId="6C85AA56" w14:textId="1A1221E1" w:rsidR="00473F59" w:rsidRDefault="00473F59" w:rsidP="00C30A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NC ER mentions in which situations a market activity may be suspended (article 35.1); NC ER also lists which activities may be suspended (article 35.2). Finally, NC ER also stipulates that each TSO shall convert the situations mentioned in article 35.1 into objectively defined parameters </w:t>
      </w:r>
      <w:proofErr w:type="gramStart"/>
      <w:r>
        <w:rPr>
          <w:sz w:val="24"/>
          <w:szCs w:val="24"/>
          <w:lang w:val="en-US"/>
        </w:rPr>
        <w:t>taking into account</w:t>
      </w:r>
      <w:proofErr w:type="gramEnd"/>
      <w:r>
        <w:rPr>
          <w:sz w:val="24"/>
          <w:szCs w:val="24"/>
          <w:lang w:val="en-US"/>
        </w:rPr>
        <w:t xml:space="preserve"> several factors (article 36.4, sub a-e).</w:t>
      </w:r>
      <w:r w:rsidR="00330497">
        <w:rPr>
          <w:sz w:val="24"/>
          <w:szCs w:val="24"/>
          <w:lang w:val="en-US"/>
        </w:rPr>
        <w:t xml:space="preserve"> Please note that "taking into account" means that some factors or parameters can be discarded.</w:t>
      </w:r>
    </w:p>
    <w:p w14:paraId="7087E80F" w14:textId="6AB23BD8" w:rsidR="00330497" w:rsidRDefault="00473F59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lastRenderedPageBreak/>
        <w:t xml:space="preserve">It must be understood that it is </w:t>
      </w:r>
      <w:r w:rsidR="00D751B7">
        <w:rPr>
          <w:sz w:val="24"/>
          <w:szCs w:val="24"/>
          <w:lang w:val="en-US"/>
        </w:rPr>
        <w:t xml:space="preserve">up to </w:t>
      </w:r>
      <w:r>
        <w:rPr>
          <w:sz w:val="24"/>
          <w:szCs w:val="24"/>
          <w:lang w:val="en-US"/>
        </w:rPr>
        <w:t xml:space="preserve">each TSO (in cooperation with its NRA) to come up with additional objectively defined parameters </w:t>
      </w:r>
      <w:r w:rsidR="00D751B7">
        <w:rPr>
          <w:sz w:val="24"/>
          <w:szCs w:val="24"/>
          <w:lang w:val="en-US"/>
        </w:rPr>
        <w:t xml:space="preserve">if necessary </w:t>
      </w:r>
      <w:r>
        <w:rPr>
          <w:sz w:val="24"/>
          <w:szCs w:val="24"/>
          <w:lang w:val="en-US"/>
        </w:rPr>
        <w:t xml:space="preserve">and to implement them pragmatic. The combination of the </w:t>
      </w:r>
      <w:proofErr w:type="gramStart"/>
      <w:r>
        <w:rPr>
          <w:sz w:val="24"/>
          <w:szCs w:val="24"/>
          <w:lang w:val="en-US"/>
        </w:rPr>
        <w:t>above mentioned</w:t>
      </w:r>
      <w:proofErr w:type="gramEnd"/>
      <w:r>
        <w:rPr>
          <w:sz w:val="24"/>
          <w:szCs w:val="24"/>
          <w:lang w:val="en-US"/>
        </w:rPr>
        <w:t xml:space="preserve"> articles could result in the following matrix:</w:t>
      </w:r>
      <w:r w:rsidR="00330497">
        <w:rPr>
          <w:sz w:val="24"/>
          <w:szCs w:val="24"/>
          <w:lang w:val="en-GB"/>
        </w:rPr>
        <w:br w:type="page"/>
      </w:r>
    </w:p>
    <w:p w14:paraId="1DDEE995" w14:textId="52AEAB47" w:rsidR="00CE7AE7" w:rsidRPr="006D5337" w:rsidRDefault="00CE7AE7" w:rsidP="00CE7AE7">
      <w:pPr>
        <w:spacing w:before="600"/>
        <w:rPr>
          <w:b/>
          <w:color w:val="FF0000"/>
          <w:sz w:val="24"/>
          <w:szCs w:val="24"/>
          <w:lang w:val="en-GB"/>
        </w:rPr>
      </w:pPr>
      <w:r w:rsidRPr="006D5337">
        <w:rPr>
          <w:b/>
          <w:color w:val="FF0000"/>
          <w:sz w:val="24"/>
          <w:szCs w:val="24"/>
          <w:lang w:val="en-GB"/>
        </w:rPr>
        <w:lastRenderedPageBreak/>
        <w:t xml:space="preserve">NC ER Article 35.1.a. </w:t>
      </w:r>
      <w:r>
        <w:rPr>
          <w:b/>
          <w:color w:val="FF0000"/>
          <w:sz w:val="24"/>
          <w:szCs w:val="24"/>
          <w:lang w:val="en-GB"/>
        </w:rPr>
        <w:t xml:space="preserve">the </w:t>
      </w:r>
      <w:r w:rsidRPr="006D5337">
        <w:rPr>
          <w:b/>
          <w:color w:val="FF0000"/>
          <w:sz w:val="24"/>
          <w:szCs w:val="24"/>
          <w:lang w:val="en-GB"/>
        </w:rPr>
        <w:t>Transmission system of TSO is in blackout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642"/>
        <w:gridCol w:w="1882"/>
        <w:gridCol w:w="1427"/>
        <w:gridCol w:w="1461"/>
        <w:gridCol w:w="1464"/>
        <w:gridCol w:w="1495"/>
        <w:gridCol w:w="1447"/>
        <w:gridCol w:w="1467"/>
      </w:tblGrid>
      <w:tr w:rsidR="00CE7AE7" w:rsidRPr="00067BBE" w14:paraId="5F469240" w14:textId="77777777" w:rsidTr="006B016D">
        <w:tc>
          <w:tcPr>
            <w:tcW w:w="493" w:type="pct"/>
            <w:shd w:val="clear" w:color="auto" w:fill="C6D9F1" w:themeFill="text2" w:themeFillTint="33"/>
          </w:tcPr>
          <w:p w14:paraId="0BB3AE08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07282587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2A345D7F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pct"/>
            <w:gridSpan w:val="6"/>
            <w:shd w:val="clear" w:color="auto" w:fill="C6D9F1" w:themeFill="text2" w:themeFillTint="33"/>
          </w:tcPr>
          <w:p w14:paraId="35F3A67B" w14:textId="77777777" w:rsidR="00CE7AE7" w:rsidRPr="00D011F0" w:rsidRDefault="00CE7AE7" w:rsidP="006B016D">
            <w:pPr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Market activities that may be suspended (and restored) according to NC ER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Article  35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>.2</w:t>
            </w:r>
          </w:p>
        </w:tc>
      </w:tr>
      <w:tr w:rsidR="00CE7AE7" w:rsidRPr="00067BBE" w14:paraId="7806C5A0" w14:textId="77777777" w:rsidTr="006B016D">
        <w:tc>
          <w:tcPr>
            <w:tcW w:w="49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658BB9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AE1652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9B00A8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7" w:type="pct"/>
            <w:shd w:val="clear" w:color="auto" w:fill="C6D9F1" w:themeFill="text2" w:themeFillTint="33"/>
          </w:tcPr>
          <w:p w14:paraId="7975280F" w14:textId="77777777" w:rsidR="00CE7AE7" w:rsidRPr="00054C01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a. </w:t>
            </w:r>
            <w:r w:rsidRPr="00054C01">
              <w:rPr>
                <w:b/>
                <w:lang w:val="en-GB"/>
              </w:rPr>
              <w:t>the provision of cross zonal capacity for capacity allocation</w:t>
            </w:r>
          </w:p>
        </w:tc>
        <w:tc>
          <w:tcPr>
            <w:tcW w:w="569" w:type="pct"/>
            <w:shd w:val="clear" w:color="auto" w:fill="C6D9F1" w:themeFill="text2" w:themeFillTint="33"/>
          </w:tcPr>
          <w:p w14:paraId="1E8ED18B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b. the</w:t>
            </w:r>
            <w:r w:rsidRPr="00801FCB">
              <w:rPr>
                <w:b/>
                <w:lang w:val="en-GB"/>
              </w:rPr>
              <w:t xml:space="preserve"> submission by a balancing service provider of balancing capacity and balancing energy bids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6809925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c. the</w:t>
            </w:r>
            <w:r w:rsidRPr="00801FCB">
              <w:rPr>
                <w:b/>
                <w:lang w:val="en-GB"/>
              </w:rPr>
              <w:t xml:space="preserve"> provision by a balance responsible party of a balanced position at the end of the day-ahead timeframe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14:paraId="5240136F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d. the</w:t>
            </w:r>
            <w:r w:rsidRPr="00801FCB">
              <w:rPr>
                <w:b/>
                <w:lang w:val="en-GB"/>
              </w:rPr>
              <w:t xml:space="preserve"> provision of modifications of the position of balance responsible parties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7F365E84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e. the</w:t>
            </w:r>
            <w:r w:rsidRPr="00801FCB">
              <w:rPr>
                <w:b/>
                <w:lang w:val="en-GB"/>
              </w:rPr>
              <w:t xml:space="preserve"> provision of </w:t>
            </w:r>
            <w:proofErr w:type="gramStart"/>
            <w:r w:rsidRPr="00801FCB">
              <w:rPr>
                <w:b/>
                <w:lang w:val="en-GB"/>
              </w:rPr>
              <w:t>schedules  mentioned</w:t>
            </w:r>
            <w:proofErr w:type="gramEnd"/>
            <w:r w:rsidRPr="00801FCB">
              <w:rPr>
                <w:b/>
                <w:lang w:val="en-GB"/>
              </w:rPr>
              <w:t xml:space="preserve"> in GLSO Article 111(1) and 111(2)</w:t>
            </w:r>
          </w:p>
        </w:tc>
        <w:tc>
          <w:tcPr>
            <w:tcW w:w="571" w:type="pct"/>
            <w:shd w:val="clear" w:color="auto" w:fill="C6D9F1" w:themeFill="text2" w:themeFillTint="33"/>
          </w:tcPr>
          <w:p w14:paraId="63D4DBF2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f. o</w:t>
            </w:r>
            <w:r w:rsidRPr="00801FCB">
              <w:rPr>
                <w:b/>
                <w:lang w:val="en-GB"/>
              </w:rPr>
              <w:t>ther relevant market activities the suspension of which is deemed necessary to preserve and/or restore the system</w:t>
            </w:r>
          </w:p>
        </w:tc>
      </w:tr>
      <w:tr w:rsidR="00CE7AE7" w:rsidRPr="00067BBE" w14:paraId="7E477280" w14:textId="77777777" w:rsidTr="006B016D">
        <w:tc>
          <w:tcPr>
            <w:tcW w:w="493" w:type="pct"/>
            <w:vMerge w:val="restart"/>
            <w:shd w:val="clear" w:color="auto" w:fill="C6D9F1" w:themeFill="text2" w:themeFillTint="33"/>
          </w:tcPr>
          <w:p w14:paraId="36D88EDA" w14:textId="77777777" w:rsidR="00CE7AE7" w:rsidRPr="00D011F0" w:rsidRDefault="00CE7AE7" w:rsidP="006B016D">
            <w:pPr>
              <w:spacing w:before="360"/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Factors that should be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taken into account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 xml:space="preserve"> when developing rules for suspension </w:t>
            </w:r>
            <w:r w:rsidRPr="00D011F0">
              <w:rPr>
                <w:b/>
                <w:sz w:val="32"/>
                <w:szCs w:val="32"/>
                <w:lang w:val="en-GB"/>
              </w:rPr>
              <w:lastRenderedPageBreak/>
              <w:t>and restoration of market activities according to NC ER Article 36.4</w:t>
            </w: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2CED0143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a. </w:t>
            </w:r>
            <w:r w:rsidRPr="00801FCB">
              <w:rPr>
                <w:b/>
                <w:lang w:val="en-GB"/>
              </w:rPr>
              <w:t>percentage of load disconnection in the LFC area corresponding to: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1B56266F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. the </w:t>
            </w:r>
            <w:r w:rsidRPr="00801FCB">
              <w:rPr>
                <w:lang w:val="en-GB"/>
              </w:rPr>
              <w:t>inability of a significant share of balancing responsible parties to maintain their balance</w:t>
            </w:r>
          </w:p>
        </w:tc>
        <w:tc>
          <w:tcPr>
            <w:tcW w:w="557" w:type="pct"/>
          </w:tcPr>
          <w:p w14:paraId="530D218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39CD050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946991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46CB08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8BCC6F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4D2ACEAC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CADC65D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600866C" w14:textId="77777777" w:rsidR="00CE7AE7" w:rsidRDefault="00CE7AE7" w:rsidP="006B016D">
            <w:pPr>
              <w:spacing w:before="360"/>
              <w:rPr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D31A2B2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643B48C0" w14:textId="77777777" w:rsidR="00CE7AE7" w:rsidRPr="00801FCB" w:rsidRDefault="00CE7AE7" w:rsidP="006B016D">
            <w:pPr>
              <w:rPr>
                <w:lang w:val="en-GB"/>
              </w:rPr>
            </w:pPr>
            <w:r>
              <w:rPr>
                <w:lang w:val="en-GB"/>
              </w:rPr>
              <w:t xml:space="preserve">ii. the </w:t>
            </w:r>
            <w:r w:rsidRPr="00801FCB">
              <w:rPr>
                <w:lang w:val="en-GB"/>
              </w:rPr>
              <w:t>necessity for the TSO not to follow the usual balancing processes to perform an efficient re-energization</w:t>
            </w:r>
          </w:p>
        </w:tc>
        <w:tc>
          <w:tcPr>
            <w:tcW w:w="557" w:type="pct"/>
          </w:tcPr>
          <w:p w14:paraId="5162CF8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6C06FD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F8E95D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C174F0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5402F1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3A5B53E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6E08022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19FBFA5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3887D8F6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b. </w:t>
            </w:r>
            <w:r w:rsidRPr="00801FCB">
              <w:rPr>
                <w:b/>
                <w:lang w:val="en-GB"/>
              </w:rPr>
              <w:t xml:space="preserve">percentage of generation disconnection in the LFC area corresponding to: 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4E9B1BCD" w14:textId="77777777" w:rsidR="00CE7AE7" w:rsidRPr="006D7FFE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inability of a significant share of balancing responsible parties to maintain their balance</w:t>
            </w:r>
          </w:p>
        </w:tc>
        <w:tc>
          <w:tcPr>
            <w:tcW w:w="557" w:type="pct"/>
          </w:tcPr>
          <w:p w14:paraId="2F86576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FD49CC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A906B1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16A476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541E44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2BE04C6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5DDA09A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7DA07B54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10A843B3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c. </w:t>
            </w:r>
            <w:r w:rsidRPr="00801FCB">
              <w:rPr>
                <w:b/>
                <w:lang w:val="en-GB"/>
              </w:rPr>
              <w:t>share and geographic distribution of unavailable transmission system elements corresponding to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2239D902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. the </w:t>
            </w:r>
            <w:r w:rsidRPr="00801FCB">
              <w:rPr>
                <w:lang w:val="en-GB"/>
              </w:rPr>
              <w:t>desynchronization of a significant part of the LFC area rendering the usual balancing processes counterproductive</w:t>
            </w:r>
          </w:p>
        </w:tc>
        <w:tc>
          <w:tcPr>
            <w:tcW w:w="557" w:type="pct"/>
          </w:tcPr>
          <w:p w14:paraId="2046F74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D89E2B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DCB8AF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549E91E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24F130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0E9A7094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E243D28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32670EAF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36AB2824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F2FBB60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ii. </w:t>
            </w:r>
            <w:r w:rsidRPr="00801FCB">
              <w:rPr>
                <w:lang w:val="en-GB"/>
              </w:rPr>
              <w:t>the reduction to zero of cross zonal capacity on a bidding zone border(s)</w:t>
            </w:r>
          </w:p>
        </w:tc>
        <w:tc>
          <w:tcPr>
            <w:tcW w:w="557" w:type="pct"/>
          </w:tcPr>
          <w:p w14:paraId="45344AF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22C873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14C76F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D7CB2B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3E187F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5E2A0C3C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A826C7" w14:paraId="26C15979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F4AD577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14EBF6F9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d. </w:t>
            </w:r>
            <w:r w:rsidRPr="00801FCB">
              <w:rPr>
                <w:b/>
                <w:lang w:val="en-GB"/>
              </w:rPr>
              <w:t>inability of the following affected entities to execute their market activities for reason(s) outside their control: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3B6E5F89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. </w:t>
            </w:r>
            <w:r w:rsidRPr="00A826C7">
              <w:rPr>
                <w:lang w:val="en-GB"/>
              </w:rPr>
              <w:t>balance responsible parties</w:t>
            </w:r>
          </w:p>
        </w:tc>
        <w:tc>
          <w:tcPr>
            <w:tcW w:w="557" w:type="pct"/>
          </w:tcPr>
          <w:p w14:paraId="1453E3A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150A80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E4AD6C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581E800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521C64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1BBFC3A5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A826C7" w14:paraId="59BE9E73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62924A33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1357F2A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C5C32AB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ii. </w:t>
            </w:r>
            <w:r w:rsidRPr="00A826C7">
              <w:rPr>
                <w:lang w:val="en-GB"/>
              </w:rPr>
              <w:t>balancing service providers</w:t>
            </w:r>
          </w:p>
        </w:tc>
        <w:tc>
          <w:tcPr>
            <w:tcW w:w="557" w:type="pct"/>
          </w:tcPr>
          <w:p w14:paraId="18109DB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08050C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5A7921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89C9E9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B7C50E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4B38B683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A826C7" w14:paraId="633048F4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0D179F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F40F0E9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79672855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iii. </w:t>
            </w:r>
            <w:r w:rsidRPr="00A826C7">
              <w:rPr>
                <w:lang w:val="en-GB"/>
              </w:rPr>
              <w:t>NEMOs</w:t>
            </w:r>
          </w:p>
        </w:tc>
        <w:tc>
          <w:tcPr>
            <w:tcW w:w="557" w:type="pct"/>
          </w:tcPr>
          <w:p w14:paraId="05833CD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6C1D69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552AB4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F80F09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09AED7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12946D4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A826C7" w14:paraId="030A8DE9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E6B9986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0ED7E34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20F402D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iv. </w:t>
            </w:r>
            <w:r w:rsidRPr="00A826C7">
              <w:rPr>
                <w:lang w:val="en-GB"/>
              </w:rPr>
              <w:t>transmission connected DSOs</w:t>
            </w:r>
          </w:p>
        </w:tc>
        <w:tc>
          <w:tcPr>
            <w:tcW w:w="557" w:type="pct"/>
          </w:tcPr>
          <w:p w14:paraId="1E1DA31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20576C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6AB8D1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E504D2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39AC819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29F3A4E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4D4E8E78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6F2E282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EE87E4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e. </w:t>
            </w:r>
            <w:r w:rsidRPr="00801FCB">
              <w:rPr>
                <w:b/>
                <w:lang w:val="en-GB"/>
              </w:rPr>
              <w:t xml:space="preserve">absence of properly </w:t>
            </w:r>
            <w:r w:rsidRPr="00801FCB">
              <w:rPr>
                <w:b/>
                <w:lang w:val="en-GB"/>
              </w:rPr>
              <w:lastRenderedPageBreak/>
              <w:t>functioning tools and communication means necessary to perform: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68414D98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i</w:t>
            </w:r>
            <w:proofErr w:type="spellEnd"/>
            <w:r>
              <w:rPr>
                <w:lang w:val="en-GB"/>
              </w:rPr>
              <w:t xml:space="preserve">. </w:t>
            </w:r>
            <w:r w:rsidRPr="00250B90">
              <w:rPr>
                <w:lang w:val="en-GB"/>
              </w:rPr>
              <w:t xml:space="preserve">the </w:t>
            </w:r>
            <w:proofErr w:type="spellStart"/>
            <w:r w:rsidRPr="00250B90">
              <w:rPr>
                <w:lang w:val="en-GB"/>
              </w:rPr>
              <w:t>singleday</w:t>
            </w:r>
            <w:proofErr w:type="spellEnd"/>
            <w:r w:rsidRPr="00250B90">
              <w:rPr>
                <w:lang w:val="en-GB"/>
              </w:rPr>
              <w:t xml:space="preserve">-ahead or intraday </w:t>
            </w:r>
            <w:r w:rsidRPr="00250B90">
              <w:rPr>
                <w:lang w:val="en-GB"/>
              </w:rPr>
              <w:lastRenderedPageBreak/>
              <w:t>coupling or any explicit capacity allocation mechanism</w:t>
            </w:r>
          </w:p>
        </w:tc>
        <w:tc>
          <w:tcPr>
            <w:tcW w:w="557" w:type="pct"/>
          </w:tcPr>
          <w:p w14:paraId="2C4ABE5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A74448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975C8B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6A2980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6AF4C8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0E18179D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214A0216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9BC606B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ACBC602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66780C19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 w:rsidRPr="00A826C7">
              <w:rPr>
                <w:lang w:val="en-GB"/>
              </w:rPr>
              <w:t>ii. the frequency restoration process</w:t>
            </w:r>
          </w:p>
        </w:tc>
        <w:tc>
          <w:tcPr>
            <w:tcW w:w="557" w:type="pct"/>
          </w:tcPr>
          <w:p w14:paraId="2674FEF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166021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16A838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E445F7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00ED2C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13B852B7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815C34E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F3EC40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5F3500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325216AD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iii. </w:t>
            </w:r>
            <w:r w:rsidRPr="00A826C7">
              <w:rPr>
                <w:lang w:val="en-GB"/>
              </w:rPr>
              <w:t>the reserve replacement process</w:t>
            </w:r>
          </w:p>
        </w:tc>
        <w:tc>
          <w:tcPr>
            <w:tcW w:w="557" w:type="pct"/>
          </w:tcPr>
          <w:p w14:paraId="123CC78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0BFA0B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284A2E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56A7AB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0F3AA6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7EDD3A6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7CCB307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5F24AFF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B33F34C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309A293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iv. </w:t>
            </w:r>
            <w:r w:rsidRPr="00250B90">
              <w:rPr>
                <w:lang w:val="en-GB"/>
              </w:rPr>
              <w:t>the provision by balance responsible party of a balanced position in day ahead and the provision of change of its position</w:t>
            </w:r>
          </w:p>
        </w:tc>
        <w:tc>
          <w:tcPr>
            <w:tcW w:w="557" w:type="pct"/>
          </w:tcPr>
          <w:p w14:paraId="73AE8D8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A789A1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FBC054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B22381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ACFEF3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4619688D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395B1516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62FCEA2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BAFFFD6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49F67F85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v. the </w:t>
            </w:r>
            <w:r w:rsidRPr="00543B18">
              <w:rPr>
                <w:lang w:val="en-GB"/>
              </w:rPr>
              <w:t xml:space="preserve">provision of </w:t>
            </w:r>
            <w:proofErr w:type="gramStart"/>
            <w:r w:rsidRPr="00543B18">
              <w:rPr>
                <w:lang w:val="en-GB"/>
              </w:rPr>
              <w:t>schedules</w:t>
            </w:r>
            <w:r>
              <w:rPr>
                <w:lang w:val="en-GB"/>
              </w:rPr>
              <w:t xml:space="preserve"> </w:t>
            </w:r>
            <w:r w:rsidRPr="00543B18">
              <w:rPr>
                <w:lang w:val="en-GB"/>
              </w:rPr>
              <w:t xml:space="preserve"> mentioned</w:t>
            </w:r>
            <w:proofErr w:type="gramEnd"/>
            <w:r w:rsidRPr="00543B18">
              <w:rPr>
                <w:lang w:val="en-GB"/>
              </w:rPr>
              <w:t xml:space="preserve"> in GLSO Article 111(1) </w:t>
            </w:r>
            <w:r>
              <w:rPr>
                <w:lang w:val="en-GB"/>
              </w:rPr>
              <w:t>and</w:t>
            </w:r>
            <w:r w:rsidRPr="00543B18">
              <w:rPr>
                <w:lang w:val="en-GB"/>
              </w:rPr>
              <w:t xml:space="preserve"> 111(2)</w:t>
            </w:r>
          </w:p>
        </w:tc>
        <w:tc>
          <w:tcPr>
            <w:tcW w:w="557" w:type="pct"/>
          </w:tcPr>
          <w:p w14:paraId="1086F5C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24905CD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14673C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6D3902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D4ED8C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1" w:type="pct"/>
          </w:tcPr>
          <w:p w14:paraId="64DE25C0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</w:tbl>
    <w:p w14:paraId="7644BAC4" w14:textId="77777777" w:rsidR="00CE7AE7" w:rsidRDefault="00CE7AE7" w:rsidP="00CE7AE7">
      <w:pPr>
        <w:spacing w:before="360"/>
        <w:rPr>
          <w:sz w:val="24"/>
          <w:szCs w:val="24"/>
          <w:lang w:val="en-GB"/>
        </w:rPr>
      </w:pPr>
    </w:p>
    <w:p w14:paraId="45BDDFDF" w14:textId="77777777" w:rsidR="00CE7AE7" w:rsidRDefault="00CE7AE7" w:rsidP="00CE7AE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204252CB" w14:textId="77777777" w:rsidR="00CE7AE7" w:rsidRPr="00D472B6" w:rsidRDefault="00CE7AE7" w:rsidP="00CE7AE7">
      <w:pPr>
        <w:spacing w:before="600"/>
        <w:rPr>
          <w:b/>
          <w:color w:val="FF0000"/>
          <w:sz w:val="24"/>
          <w:szCs w:val="24"/>
          <w:lang w:val="en-GB"/>
        </w:rPr>
      </w:pPr>
      <w:r w:rsidRPr="006D5337">
        <w:rPr>
          <w:b/>
          <w:color w:val="FF0000"/>
          <w:sz w:val="24"/>
          <w:szCs w:val="24"/>
          <w:lang w:val="en-GB"/>
        </w:rPr>
        <w:lastRenderedPageBreak/>
        <w:t>NC ER Article 35.1.</w:t>
      </w:r>
      <w:r>
        <w:rPr>
          <w:b/>
          <w:color w:val="FF0000"/>
          <w:sz w:val="24"/>
          <w:szCs w:val="24"/>
          <w:lang w:val="en-GB"/>
        </w:rPr>
        <w:t>b</w:t>
      </w:r>
      <w:r w:rsidRPr="006D5337">
        <w:rPr>
          <w:b/>
          <w:color w:val="FF0000"/>
          <w:sz w:val="24"/>
          <w:szCs w:val="24"/>
          <w:lang w:val="en-GB"/>
        </w:rPr>
        <w:t xml:space="preserve">. </w:t>
      </w:r>
      <w:r>
        <w:rPr>
          <w:b/>
          <w:color w:val="FF0000"/>
          <w:sz w:val="24"/>
          <w:szCs w:val="24"/>
          <w:lang w:val="en-GB"/>
        </w:rPr>
        <w:t xml:space="preserve">the </w:t>
      </w:r>
      <w:r w:rsidRPr="00D472B6">
        <w:rPr>
          <w:b/>
          <w:color w:val="FF0000"/>
          <w:sz w:val="24"/>
          <w:szCs w:val="24"/>
          <w:lang w:val="en-GB"/>
        </w:rPr>
        <w:t xml:space="preserve">TSO has exhausted all options provided by the market and the continuation of market activities under the emergency state would deteriorate one or more of the conditions referred to in </w:t>
      </w:r>
      <w:r>
        <w:rPr>
          <w:b/>
          <w:color w:val="FF0000"/>
          <w:sz w:val="24"/>
          <w:szCs w:val="24"/>
          <w:lang w:val="en-GB"/>
        </w:rPr>
        <w:t xml:space="preserve">GL SO </w:t>
      </w:r>
      <w:r w:rsidRPr="00D472B6">
        <w:rPr>
          <w:b/>
          <w:color w:val="FF0000"/>
          <w:sz w:val="24"/>
          <w:szCs w:val="24"/>
          <w:lang w:val="en-GB"/>
        </w:rPr>
        <w:t>Article 18(3)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642"/>
        <w:gridCol w:w="1882"/>
        <w:gridCol w:w="1427"/>
        <w:gridCol w:w="1461"/>
        <w:gridCol w:w="1464"/>
        <w:gridCol w:w="1495"/>
        <w:gridCol w:w="1447"/>
        <w:gridCol w:w="1467"/>
      </w:tblGrid>
      <w:tr w:rsidR="00CE7AE7" w:rsidRPr="00067BBE" w14:paraId="61FABA2A" w14:textId="77777777" w:rsidTr="006B016D">
        <w:tc>
          <w:tcPr>
            <w:tcW w:w="493" w:type="pct"/>
            <w:shd w:val="clear" w:color="auto" w:fill="C6D9F1" w:themeFill="text2" w:themeFillTint="33"/>
          </w:tcPr>
          <w:p w14:paraId="2B6EF4FD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5AB94D13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1CEB077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pct"/>
            <w:gridSpan w:val="6"/>
            <w:shd w:val="clear" w:color="auto" w:fill="C6D9F1" w:themeFill="text2" w:themeFillTint="33"/>
          </w:tcPr>
          <w:p w14:paraId="4154818C" w14:textId="77777777" w:rsidR="00CE7AE7" w:rsidRPr="00D011F0" w:rsidRDefault="00CE7AE7" w:rsidP="006B016D">
            <w:pPr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Market activities that may be suspended (and restored) according to NC ER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Article  35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>.2</w:t>
            </w:r>
          </w:p>
        </w:tc>
      </w:tr>
      <w:tr w:rsidR="00CE7AE7" w:rsidRPr="00067BBE" w14:paraId="48155FF3" w14:textId="77777777" w:rsidTr="006B016D">
        <w:tc>
          <w:tcPr>
            <w:tcW w:w="49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C4C315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7CF710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1EF302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7" w:type="pct"/>
            <w:shd w:val="clear" w:color="auto" w:fill="C6D9F1" w:themeFill="text2" w:themeFillTint="33"/>
          </w:tcPr>
          <w:p w14:paraId="405D7788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Pr="00801FCB">
              <w:rPr>
                <w:b/>
                <w:lang w:val="en-GB"/>
              </w:rPr>
              <w:t>provision of cross zonal capacity for capacity allocation</w:t>
            </w:r>
          </w:p>
        </w:tc>
        <w:tc>
          <w:tcPr>
            <w:tcW w:w="569" w:type="pct"/>
            <w:shd w:val="clear" w:color="auto" w:fill="C6D9F1" w:themeFill="text2" w:themeFillTint="33"/>
          </w:tcPr>
          <w:p w14:paraId="5CBF7425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submission by a balancing service provider of balancing capacity and balancing energy bids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37D7A42E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by a balance responsible party of a balanced position at the end of the day-ahead timeframe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14:paraId="66C25266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modifications of the position of balance responsible parties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47DFFD2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</w:t>
            </w:r>
            <w:proofErr w:type="gramStart"/>
            <w:r w:rsidRPr="00801FCB">
              <w:rPr>
                <w:b/>
                <w:lang w:val="en-GB"/>
              </w:rPr>
              <w:t>schedules  mentioned</w:t>
            </w:r>
            <w:proofErr w:type="gramEnd"/>
            <w:r w:rsidRPr="00801FCB">
              <w:rPr>
                <w:b/>
                <w:lang w:val="en-GB"/>
              </w:rPr>
              <w:t xml:space="preserve"> in GLSO Article 111(1) and 111(2)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76FFA2CC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Pr="00801FCB">
              <w:rPr>
                <w:b/>
                <w:lang w:val="en-GB"/>
              </w:rPr>
              <w:t>ther relevant market activities the suspension of which is deemed necessary to preserve and/or restore the system</w:t>
            </w:r>
          </w:p>
        </w:tc>
      </w:tr>
      <w:tr w:rsidR="00CE7AE7" w:rsidRPr="00067BBE" w14:paraId="1AEF18BD" w14:textId="77777777" w:rsidTr="006B016D">
        <w:tc>
          <w:tcPr>
            <w:tcW w:w="493" w:type="pct"/>
            <w:vMerge w:val="restart"/>
            <w:shd w:val="clear" w:color="auto" w:fill="C6D9F1" w:themeFill="text2" w:themeFillTint="33"/>
          </w:tcPr>
          <w:p w14:paraId="770EC038" w14:textId="77777777" w:rsidR="00CE7AE7" w:rsidRPr="00D011F0" w:rsidRDefault="00CE7AE7" w:rsidP="006B016D">
            <w:pPr>
              <w:spacing w:before="360"/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Factors that should be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taken into account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 xml:space="preserve"> when developing rules for suspension </w:t>
            </w:r>
            <w:r w:rsidRPr="00D011F0">
              <w:rPr>
                <w:b/>
                <w:sz w:val="32"/>
                <w:szCs w:val="32"/>
                <w:lang w:val="en-GB"/>
              </w:rPr>
              <w:lastRenderedPageBreak/>
              <w:t>and restoration of market activities according to NC ER Article 36.4</w:t>
            </w: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0BF12779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lastRenderedPageBreak/>
              <w:t>percentage of load disconnection in the LFC area corresponding to: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3D83FBA3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inability of a significant share of balancing responsible parties to maintain their balance</w:t>
            </w:r>
          </w:p>
        </w:tc>
        <w:tc>
          <w:tcPr>
            <w:tcW w:w="557" w:type="pct"/>
          </w:tcPr>
          <w:p w14:paraId="0B597C4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3015E0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680E8C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A6F7AB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1C33CC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9FEB19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4C79F3FC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6194D74F" w14:textId="77777777" w:rsidR="00CE7AE7" w:rsidRDefault="00CE7AE7" w:rsidP="006B016D">
            <w:pPr>
              <w:spacing w:before="360"/>
              <w:rPr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614EAEF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B85A89F" w14:textId="77777777" w:rsidR="00CE7AE7" w:rsidRPr="00801FCB" w:rsidRDefault="00CE7AE7" w:rsidP="006B016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necessity for the TSO not to follow the usual balancing processes to perform an efficient re-energization</w:t>
            </w:r>
          </w:p>
        </w:tc>
        <w:tc>
          <w:tcPr>
            <w:tcW w:w="557" w:type="pct"/>
          </w:tcPr>
          <w:p w14:paraId="21A28E6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43E4A4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4B37FF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45413DB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2E9492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AA95049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1F7E325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7D91E0F0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606F4196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percentage of generation disconnection in the LFC area corresponding to: 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2733EEA3" w14:textId="77777777" w:rsidR="00CE7AE7" w:rsidRPr="006D7FFE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inability of a significant share of balancing responsible parties to maintain their balance</w:t>
            </w:r>
          </w:p>
        </w:tc>
        <w:tc>
          <w:tcPr>
            <w:tcW w:w="557" w:type="pct"/>
          </w:tcPr>
          <w:p w14:paraId="0E56A03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2C4CE58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D0F12F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6573EC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3C11641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238A3FD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7B967295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DD1F22A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A43F911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share and geographic distribution of unavailable transmission system elements corresponding to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4CB6E9C6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desynchronization of a significant part of the LFC area rendering the usual balancing processes counterproductive</w:t>
            </w:r>
          </w:p>
        </w:tc>
        <w:tc>
          <w:tcPr>
            <w:tcW w:w="557" w:type="pct"/>
          </w:tcPr>
          <w:p w14:paraId="203340A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943F37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EE05A9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00174A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2E5244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BAD8A10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744210FC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5B6B830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5DC4DF3B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64B4B372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reduction to zero of cross zonal capacity on a bidding zone border(s)</w:t>
            </w:r>
          </w:p>
        </w:tc>
        <w:tc>
          <w:tcPr>
            <w:tcW w:w="557" w:type="pct"/>
          </w:tcPr>
          <w:p w14:paraId="0355148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201390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3F5FEB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F3A7BC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1ABDA2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8DC3DF7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22A77665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59285BD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0121769C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inability of the following affected entities to execute their market activities for reason(s) outside their control: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7BCFF511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balance responsible parties</w:t>
            </w:r>
          </w:p>
        </w:tc>
        <w:tc>
          <w:tcPr>
            <w:tcW w:w="557" w:type="pct"/>
          </w:tcPr>
          <w:p w14:paraId="73F9886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6F3E80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61A6A4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E6C160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39634D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4768A6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2F13720A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D75BB4A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89EBB01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7C790D3F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balancing service providers</w:t>
            </w:r>
          </w:p>
        </w:tc>
        <w:tc>
          <w:tcPr>
            <w:tcW w:w="557" w:type="pct"/>
          </w:tcPr>
          <w:p w14:paraId="4AFE1BB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1799EF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1D308C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805490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1DCEB5D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E2290A3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477248D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80AC5A6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04D26E0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AD95AB5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NEMOs</w:t>
            </w:r>
          </w:p>
        </w:tc>
        <w:tc>
          <w:tcPr>
            <w:tcW w:w="557" w:type="pct"/>
          </w:tcPr>
          <w:p w14:paraId="5F79AAF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9A1B8E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C40301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581D3F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0ACD2D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121597A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353EC3A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661C17E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6F48C0A2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512FA17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transmission connected DSOs</w:t>
            </w:r>
          </w:p>
        </w:tc>
        <w:tc>
          <w:tcPr>
            <w:tcW w:w="557" w:type="pct"/>
          </w:tcPr>
          <w:p w14:paraId="54112C4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31DC9D8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793EF9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15AC8B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12D23CE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676C3B5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51185DF4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3E54F33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4F1C3214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absence of properly </w:t>
            </w:r>
            <w:r w:rsidRPr="00801FCB">
              <w:rPr>
                <w:b/>
                <w:lang w:val="en-GB"/>
              </w:rPr>
              <w:lastRenderedPageBreak/>
              <w:t>functioning tools and communication means necessary to perform: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07BA03A2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lastRenderedPageBreak/>
              <w:t xml:space="preserve">the </w:t>
            </w:r>
            <w:proofErr w:type="spellStart"/>
            <w:r w:rsidRPr="00250B90">
              <w:rPr>
                <w:lang w:val="en-GB"/>
              </w:rPr>
              <w:t>singleday</w:t>
            </w:r>
            <w:proofErr w:type="spellEnd"/>
            <w:r w:rsidRPr="00250B90">
              <w:rPr>
                <w:lang w:val="en-GB"/>
              </w:rPr>
              <w:t xml:space="preserve">-ahead or intraday </w:t>
            </w:r>
            <w:r w:rsidRPr="00250B90">
              <w:rPr>
                <w:lang w:val="en-GB"/>
              </w:rPr>
              <w:lastRenderedPageBreak/>
              <w:t>coupling or any explicit capacity allocation mechanism</w:t>
            </w:r>
          </w:p>
        </w:tc>
        <w:tc>
          <w:tcPr>
            <w:tcW w:w="557" w:type="pct"/>
          </w:tcPr>
          <w:p w14:paraId="062A139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73DD14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993948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DB6985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10FE7D5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E1B870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1B681BEF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ED932E2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5D81C863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6F17852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frequency restoration process</w:t>
            </w:r>
          </w:p>
        </w:tc>
        <w:tc>
          <w:tcPr>
            <w:tcW w:w="557" w:type="pct"/>
          </w:tcPr>
          <w:p w14:paraId="08A1D36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337182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3A6DAA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231DFE0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0A6F41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FEFBE66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0DDFB26D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404613E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37132A97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7555BCFE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reserve replacement process</w:t>
            </w:r>
          </w:p>
        </w:tc>
        <w:tc>
          <w:tcPr>
            <w:tcW w:w="557" w:type="pct"/>
          </w:tcPr>
          <w:p w14:paraId="754049D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3E5CC65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831FBB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0920B2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DC273B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7DE153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7782DB75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9CCA6DC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B2A26A8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3B19C19D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t>the provision by balance responsible party of a balanced position in day ahead and the provision of change of its position</w:t>
            </w:r>
          </w:p>
        </w:tc>
        <w:tc>
          <w:tcPr>
            <w:tcW w:w="557" w:type="pct"/>
          </w:tcPr>
          <w:p w14:paraId="662581E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7F6051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42D17D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0F89BE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C82A08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A541A54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768BFF1D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722A1AA0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544C6788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22CAC8B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543B18">
              <w:rPr>
                <w:lang w:val="en-GB"/>
              </w:rPr>
              <w:t xml:space="preserve">provision of </w:t>
            </w:r>
            <w:proofErr w:type="gramStart"/>
            <w:r w:rsidRPr="00543B18">
              <w:rPr>
                <w:lang w:val="en-GB"/>
              </w:rPr>
              <w:t>schedules</w:t>
            </w:r>
            <w:r>
              <w:rPr>
                <w:lang w:val="en-GB"/>
              </w:rPr>
              <w:t xml:space="preserve"> </w:t>
            </w:r>
            <w:r w:rsidRPr="00543B18">
              <w:rPr>
                <w:lang w:val="en-GB"/>
              </w:rPr>
              <w:t xml:space="preserve"> mentioned</w:t>
            </w:r>
            <w:proofErr w:type="gramEnd"/>
            <w:r w:rsidRPr="00543B18">
              <w:rPr>
                <w:lang w:val="en-GB"/>
              </w:rPr>
              <w:t xml:space="preserve"> in GLSO Article 111(1) </w:t>
            </w:r>
            <w:r>
              <w:rPr>
                <w:lang w:val="en-GB"/>
              </w:rPr>
              <w:t>and</w:t>
            </w:r>
            <w:r w:rsidRPr="00543B18">
              <w:rPr>
                <w:lang w:val="en-GB"/>
              </w:rPr>
              <w:t xml:space="preserve"> 111(2)</w:t>
            </w:r>
          </w:p>
        </w:tc>
        <w:tc>
          <w:tcPr>
            <w:tcW w:w="557" w:type="pct"/>
          </w:tcPr>
          <w:p w14:paraId="56E405B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4BB562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1E503D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9D20C2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3A28157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ECC8160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</w:tbl>
    <w:p w14:paraId="73C6E10F" w14:textId="77777777" w:rsidR="00CE7AE7" w:rsidRDefault="00CE7AE7" w:rsidP="00CE7AE7">
      <w:pPr>
        <w:spacing w:before="360"/>
        <w:rPr>
          <w:sz w:val="24"/>
          <w:szCs w:val="24"/>
          <w:lang w:val="en-GB"/>
        </w:rPr>
      </w:pPr>
    </w:p>
    <w:p w14:paraId="2FB50173" w14:textId="77777777" w:rsidR="00CE7AE7" w:rsidRDefault="00CE7AE7" w:rsidP="00CE7AE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4E055C23" w14:textId="77777777" w:rsidR="00CE7AE7" w:rsidRPr="00D4665D" w:rsidRDefault="00CE7AE7" w:rsidP="00CE7AE7">
      <w:pPr>
        <w:spacing w:before="600"/>
        <w:rPr>
          <w:b/>
          <w:color w:val="FF0000"/>
          <w:sz w:val="24"/>
          <w:szCs w:val="24"/>
          <w:lang w:val="en-GB"/>
        </w:rPr>
      </w:pPr>
      <w:r w:rsidRPr="006D5337">
        <w:rPr>
          <w:b/>
          <w:color w:val="FF0000"/>
          <w:sz w:val="24"/>
          <w:szCs w:val="24"/>
          <w:lang w:val="en-GB"/>
        </w:rPr>
        <w:lastRenderedPageBreak/>
        <w:t>NC ER Article 35.1.</w:t>
      </w:r>
      <w:r>
        <w:rPr>
          <w:b/>
          <w:color w:val="FF0000"/>
          <w:sz w:val="24"/>
          <w:szCs w:val="24"/>
          <w:lang w:val="en-GB"/>
        </w:rPr>
        <w:t>c</w:t>
      </w:r>
      <w:r w:rsidRPr="006D5337">
        <w:rPr>
          <w:b/>
          <w:color w:val="FF0000"/>
          <w:sz w:val="24"/>
          <w:szCs w:val="24"/>
          <w:lang w:val="en-GB"/>
        </w:rPr>
        <w:t xml:space="preserve">. </w:t>
      </w:r>
      <w:r>
        <w:rPr>
          <w:b/>
          <w:color w:val="FF0000"/>
          <w:sz w:val="24"/>
          <w:szCs w:val="24"/>
          <w:lang w:val="en-GB"/>
        </w:rPr>
        <w:t xml:space="preserve">the </w:t>
      </w:r>
      <w:r w:rsidRPr="00D4665D">
        <w:rPr>
          <w:b/>
          <w:color w:val="FF0000"/>
          <w:sz w:val="24"/>
          <w:szCs w:val="24"/>
          <w:lang w:val="en-GB"/>
        </w:rPr>
        <w:t>continuation of market activities would decrease significantly the effectiveness of the restoration process to the normal or alert state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642"/>
        <w:gridCol w:w="1882"/>
        <w:gridCol w:w="1427"/>
        <w:gridCol w:w="1461"/>
        <w:gridCol w:w="1464"/>
        <w:gridCol w:w="1495"/>
        <w:gridCol w:w="1447"/>
        <w:gridCol w:w="1467"/>
      </w:tblGrid>
      <w:tr w:rsidR="00CE7AE7" w:rsidRPr="00067BBE" w14:paraId="4620B159" w14:textId="77777777" w:rsidTr="006B016D">
        <w:tc>
          <w:tcPr>
            <w:tcW w:w="493" w:type="pct"/>
            <w:shd w:val="clear" w:color="auto" w:fill="C6D9F1" w:themeFill="text2" w:themeFillTint="33"/>
          </w:tcPr>
          <w:p w14:paraId="3EAC8FDE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7D1819BA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209FEBDC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pct"/>
            <w:gridSpan w:val="6"/>
            <w:shd w:val="clear" w:color="auto" w:fill="C6D9F1" w:themeFill="text2" w:themeFillTint="33"/>
          </w:tcPr>
          <w:p w14:paraId="322810FE" w14:textId="77777777" w:rsidR="00CE7AE7" w:rsidRPr="00D011F0" w:rsidRDefault="00CE7AE7" w:rsidP="006B016D">
            <w:pPr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Market activities that may be suspended (and restored) according to NC ER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Article  35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>.2</w:t>
            </w:r>
          </w:p>
        </w:tc>
      </w:tr>
      <w:tr w:rsidR="00CE7AE7" w:rsidRPr="00067BBE" w14:paraId="02797A04" w14:textId="77777777" w:rsidTr="006B016D">
        <w:tc>
          <w:tcPr>
            <w:tcW w:w="49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406B56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62B170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3DDE72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7" w:type="pct"/>
            <w:shd w:val="clear" w:color="auto" w:fill="C6D9F1" w:themeFill="text2" w:themeFillTint="33"/>
          </w:tcPr>
          <w:p w14:paraId="0E8B7D34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Pr="00801FCB">
              <w:rPr>
                <w:b/>
                <w:lang w:val="en-GB"/>
              </w:rPr>
              <w:t>provision of cross zonal capacity for capacity allocation</w:t>
            </w:r>
          </w:p>
        </w:tc>
        <w:tc>
          <w:tcPr>
            <w:tcW w:w="569" w:type="pct"/>
            <w:shd w:val="clear" w:color="auto" w:fill="C6D9F1" w:themeFill="text2" w:themeFillTint="33"/>
          </w:tcPr>
          <w:p w14:paraId="184EF9CD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submission by a balancing service provider of balancing capacity and balancing energy bids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28D1F302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by a balance responsible party of a balanced position at the end of the day-ahead timeframe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14:paraId="19645CC9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modifications of the position of balance responsible parties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3A484251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</w:t>
            </w:r>
            <w:proofErr w:type="gramStart"/>
            <w:r w:rsidRPr="00801FCB">
              <w:rPr>
                <w:b/>
                <w:lang w:val="en-GB"/>
              </w:rPr>
              <w:t>schedules  mentioned</w:t>
            </w:r>
            <w:proofErr w:type="gramEnd"/>
            <w:r w:rsidRPr="00801FCB">
              <w:rPr>
                <w:b/>
                <w:lang w:val="en-GB"/>
              </w:rPr>
              <w:t xml:space="preserve"> in GLSO Article 111(1) and 111(2)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0124F938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Pr="00801FCB">
              <w:rPr>
                <w:b/>
                <w:lang w:val="en-GB"/>
              </w:rPr>
              <w:t>ther relevant market activities the suspension of which is deemed necessary to preserve and/or restore the system</w:t>
            </w:r>
          </w:p>
        </w:tc>
      </w:tr>
      <w:tr w:rsidR="00CE7AE7" w:rsidRPr="00067BBE" w14:paraId="367D2FDF" w14:textId="77777777" w:rsidTr="006B016D">
        <w:tc>
          <w:tcPr>
            <w:tcW w:w="493" w:type="pct"/>
            <w:vMerge w:val="restart"/>
            <w:shd w:val="clear" w:color="auto" w:fill="C6D9F1" w:themeFill="text2" w:themeFillTint="33"/>
          </w:tcPr>
          <w:p w14:paraId="094AA66D" w14:textId="77777777" w:rsidR="00CE7AE7" w:rsidRPr="00D011F0" w:rsidRDefault="00CE7AE7" w:rsidP="006B016D">
            <w:pPr>
              <w:spacing w:before="360"/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Factors that should be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taken into account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 xml:space="preserve"> when developing rules for suspension </w:t>
            </w:r>
            <w:r w:rsidRPr="00D011F0">
              <w:rPr>
                <w:b/>
                <w:sz w:val="32"/>
                <w:szCs w:val="32"/>
                <w:lang w:val="en-GB"/>
              </w:rPr>
              <w:lastRenderedPageBreak/>
              <w:t>and restoration of market activities according to NC ER Article 36.4</w:t>
            </w: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0FDF60B4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lastRenderedPageBreak/>
              <w:t>percentage of load disconnection in the LFC area corresponding to: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078D8DF7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inability of a significant share of balancing responsible parties to maintain their balance</w:t>
            </w:r>
          </w:p>
        </w:tc>
        <w:tc>
          <w:tcPr>
            <w:tcW w:w="557" w:type="pct"/>
          </w:tcPr>
          <w:p w14:paraId="5C8BFC6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15F7DD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76BB3A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9D865B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DC1E99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32AA809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4B5A354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7BA2463D" w14:textId="77777777" w:rsidR="00CE7AE7" w:rsidRDefault="00CE7AE7" w:rsidP="006B016D">
            <w:pPr>
              <w:spacing w:before="360"/>
              <w:rPr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B6D9643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62A44CE" w14:textId="77777777" w:rsidR="00CE7AE7" w:rsidRPr="00801FCB" w:rsidRDefault="00CE7AE7" w:rsidP="006B016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necessity for the TSO not to follow the usual balancing processes to perform an efficient re-energization</w:t>
            </w:r>
          </w:p>
        </w:tc>
        <w:tc>
          <w:tcPr>
            <w:tcW w:w="557" w:type="pct"/>
          </w:tcPr>
          <w:p w14:paraId="2E9E831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21773D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8C4470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CE52F9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F602E4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7DBC23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632FC56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747729B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1B047AC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percentage of generation disconnection in the LFC area corresponding to: 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15E6EF4D" w14:textId="77777777" w:rsidR="00CE7AE7" w:rsidRPr="006D7FFE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inability of a significant share of balancing responsible parties to maintain their balance</w:t>
            </w:r>
          </w:p>
        </w:tc>
        <w:tc>
          <w:tcPr>
            <w:tcW w:w="557" w:type="pct"/>
          </w:tcPr>
          <w:p w14:paraId="577709A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CB9493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B3ABA1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5702E36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4DA730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B7ADAF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2D331878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3AB58BFD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1C834E3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share and geographic distribution of unavailable transmission system elements corresponding to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58A1C959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desynchronization of a significant part of the LFC area rendering the usual balancing processes counterproductive</w:t>
            </w:r>
          </w:p>
        </w:tc>
        <w:tc>
          <w:tcPr>
            <w:tcW w:w="557" w:type="pct"/>
          </w:tcPr>
          <w:p w14:paraId="51B62FD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55693D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5726A2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4160671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A5EB07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DA5D04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2CA88C06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C3E78AE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3A870D2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FFCF851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reduction to zero of cross zonal capacity on a bidding zone border(s)</w:t>
            </w:r>
          </w:p>
        </w:tc>
        <w:tc>
          <w:tcPr>
            <w:tcW w:w="557" w:type="pct"/>
          </w:tcPr>
          <w:p w14:paraId="76CEEE9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BA4661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CEE03D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215DD1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1BD0A08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DABA368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7F2C21DE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9108158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93EEB8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inability of the following affected entities to execute their market activities for reason(s) outside their control: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2DDE7CBA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balance responsible parties</w:t>
            </w:r>
          </w:p>
        </w:tc>
        <w:tc>
          <w:tcPr>
            <w:tcW w:w="557" w:type="pct"/>
          </w:tcPr>
          <w:p w14:paraId="4B63A78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91E326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68106F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EF41DB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36260C3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CAE8B8A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4F8B221F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B1C41D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661719F1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F4B12E9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balancing service providers</w:t>
            </w:r>
          </w:p>
        </w:tc>
        <w:tc>
          <w:tcPr>
            <w:tcW w:w="557" w:type="pct"/>
          </w:tcPr>
          <w:p w14:paraId="1E213EC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C7117E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9ADDB3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DBED98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DAB7A5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6803558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72C5AC67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7A8DF1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48381C6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4164B8B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NEMOs</w:t>
            </w:r>
          </w:p>
        </w:tc>
        <w:tc>
          <w:tcPr>
            <w:tcW w:w="557" w:type="pct"/>
          </w:tcPr>
          <w:p w14:paraId="365CD95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230A507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DBCF29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4B3682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1AF0C6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37B0D9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57C57789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2473D4FE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0ABEEB92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95FE49A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transmission connected DSOs</w:t>
            </w:r>
          </w:p>
        </w:tc>
        <w:tc>
          <w:tcPr>
            <w:tcW w:w="557" w:type="pct"/>
          </w:tcPr>
          <w:p w14:paraId="4ED1DA5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3B2E34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0C5C4D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E1CCF0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23F53D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627FB166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7421C65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D87A8AC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85EA985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absence of properly </w:t>
            </w:r>
            <w:r w:rsidRPr="00801FCB">
              <w:rPr>
                <w:b/>
                <w:lang w:val="en-GB"/>
              </w:rPr>
              <w:lastRenderedPageBreak/>
              <w:t>functioning tools and communication means necessary to perform: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129A47C2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lastRenderedPageBreak/>
              <w:t xml:space="preserve">the </w:t>
            </w:r>
            <w:proofErr w:type="spellStart"/>
            <w:r w:rsidRPr="00250B90">
              <w:rPr>
                <w:lang w:val="en-GB"/>
              </w:rPr>
              <w:t>singleday</w:t>
            </w:r>
            <w:proofErr w:type="spellEnd"/>
            <w:r w:rsidRPr="00250B90">
              <w:rPr>
                <w:lang w:val="en-GB"/>
              </w:rPr>
              <w:t xml:space="preserve">-ahead or intraday </w:t>
            </w:r>
            <w:r w:rsidRPr="00250B90">
              <w:rPr>
                <w:lang w:val="en-GB"/>
              </w:rPr>
              <w:lastRenderedPageBreak/>
              <w:t>coupling or any explicit capacity allocation mechanism</w:t>
            </w:r>
          </w:p>
        </w:tc>
        <w:tc>
          <w:tcPr>
            <w:tcW w:w="557" w:type="pct"/>
          </w:tcPr>
          <w:p w14:paraId="43BF9B4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28B5607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142955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268EC5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E3FEAD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52067FD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25659971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E480D1C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D2BAA68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F3563AD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frequency restoration process</w:t>
            </w:r>
          </w:p>
        </w:tc>
        <w:tc>
          <w:tcPr>
            <w:tcW w:w="557" w:type="pct"/>
          </w:tcPr>
          <w:p w14:paraId="0E3D9C1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C9B148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4701D0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2C17154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C97F5F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CC324BF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651DA8DD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5BC46A9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62EFAD97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FE35EC9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reserve replacement process</w:t>
            </w:r>
          </w:p>
        </w:tc>
        <w:tc>
          <w:tcPr>
            <w:tcW w:w="557" w:type="pct"/>
          </w:tcPr>
          <w:p w14:paraId="70B8123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09EE57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AD54C2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3D7A37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32A840D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BCC3BC3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02D1D72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3DE41E65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36EE90C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0EF61D5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t>the provision by balance responsible party of a balanced position in day ahead and the provision of change of its position</w:t>
            </w:r>
          </w:p>
        </w:tc>
        <w:tc>
          <w:tcPr>
            <w:tcW w:w="557" w:type="pct"/>
          </w:tcPr>
          <w:p w14:paraId="7A88CE3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D5C09C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EEF9E4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4997462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B6A5F7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ADC4AC4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60F61D13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DCF4287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3382403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4BCA6FB0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543B18">
              <w:rPr>
                <w:lang w:val="en-GB"/>
              </w:rPr>
              <w:t xml:space="preserve">provision of </w:t>
            </w:r>
            <w:proofErr w:type="gramStart"/>
            <w:r w:rsidRPr="00543B18">
              <w:rPr>
                <w:lang w:val="en-GB"/>
              </w:rPr>
              <w:t>schedules</w:t>
            </w:r>
            <w:r>
              <w:rPr>
                <w:lang w:val="en-GB"/>
              </w:rPr>
              <w:t xml:space="preserve"> </w:t>
            </w:r>
            <w:r w:rsidRPr="00543B18">
              <w:rPr>
                <w:lang w:val="en-GB"/>
              </w:rPr>
              <w:t xml:space="preserve"> mentioned</w:t>
            </w:r>
            <w:proofErr w:type="gramEnd"/>
            <w:r w:rsidRPr="00543B18">
              <w:rPr>
                <w:lang w:val="en-GB"/>
              </w:rPr>
              <w:t xml:space="preserve"> in GLSO Article 111(1) </w:t>
            </w:r>
            <w:r>
              <w:rPr>
                <w:lang w:val="en-GB"/>
              </w:rPr>
              <w:t>and</w:t>
            </w:r>
            <w:r w:rsidRPr="00543B18">
              <w:rPr>
                <w:lang w:val="en-GB"/>
              </w:rPr>
              <w:t xml:space="preserve"> 111(2)</w:t>
            </w:r>
          </w:p>
        </w:tc>
        <w:tc>
          <w:tcPr>
            <w:tcW w:w="557" w:type="pct"/>
          </w:tcPr>
          <w:p w14:paraId="302BA2A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50BDA3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2BEC83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C12EEB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D5BF5E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BF5D4E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</w:tbl>
    <w:p w14:paraId="5CC65CB5" w14:textId="77777777" w:rsidR="00CE7AE7" w:rsidRDefault="00CE7AE7" w:rsidP="00CE7AE7">
      <w:pPr>
        <w:spacing w:before="360"/>
        <w:rPr>
          <w:sz w:val="24"/>
          <w:szCs w:val="24"/>
          <w:lang w:val="en-GB"/>
        </w:rPr>
      </w:pPr>
    </w:p>
    <w:p w14:paraId="40DF80CB" w14:textId="77777777" w:rsidR="00CE7AE7" w:rsidRDefault="00CE7AE7" w:rsidP="00CE7AE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595CBAF2" w14:textId="77777777" w:rsidR="00CE7AE7" w:rsidRPr="00D4665D" w:rsidRDefault="00CE7AE7" w:rsidP="00CE7AE7">
      <w:pPr>
        <w:spacing w:before="600"/>
        <w:rPr>
          <w:b/>
          <w:color w:val="FF0000"/>
          <w:sz w:val="24"/>
          <w:szCs w:val="24"/>
          <w:lang w:val="en-GB"/>
        </w:rPr>
      </w:pPr>
      <w:r w:rsidRPr="006D5337">
        <w:rPr>
          <w:b/>
          <w:color w:val="FF0000"/>
          <w:sz w:val="24"/>
          <w:szCs w:val="24"/>
          <w:lang w:val="en-GB"/>
        </w:rPr>
        <w:lastRenderedPageBreak/>
        <w:t>NC ER Article 35.1.</w:t>
      </w:r>
      <w:r>
        <w:rPr>
          <w:b/>
          <w:color w:val="FF0000"/>
          <w:sz w:val="24"/>
          <w:szCs w:val="24"/>
          <w:lang w:val="en-GB"/>
        </w:rPr>
        <w:t>d</w:t>
      </w:r>
      <w:r w:rsidRPr="006D5337">
        <w:rPr>
          <w:b/>
          <w:color w:val="FF0000"/>
          <w:sz w:val="24"/>
          <w:szCs w:val="24"/>
          <w:lang w:val="en-GB"/>
        </w:rPr>
        <w:t xml:space="preserve">. </w:t>
      </w:r>
      <w:r>
        <w:rPr>
          <w:b/>
          <w:color w:val="FF0000"/>
          <w:sz w:val="24"/>
          <w:szCs w:val="24"/>
          <w:lang w:val="en-GB"/>
        </w:rPr>
        <w:t xml:space="preserve">tools </w:t>
      </w:r>
      <w:r w:rsidRPr="00D4665D">
        <w:rPr>
          <w:b/>
          <w:color w:val="FF0000"/>
          <w:sz w:val="24"/>
          <w:szCs w:val="24"/>
          <w:lang w:val="en-GB"/>
        </w:rPr>
        <w:t xml:space="preserve">and communication </w:t>
      </w:r>
      <w:proofErr w:type="gramStart"/>
      <w:r w:rsidRPr="00D4665D">
        <w:rPr>
          <w:b/>
          <w:color w:val="FF0000"/>
          <w:sz w:val="24"/>
          <w:szCs w:val="24"/>
          <w:lang w:val="en-GB"/>
        </w:rPr>
        <w:t>means</w:t>
      </w:r>
      <w:proofErr w:type="gramEnd"/>
      <w:r w:rsidRPr="00D4665D">
        <w:rPr>
          <w:b/>
          <w:color w:val="FF0000"/>
          <w:sz w:val="24"/>
          <w:szCs w:val="24"/>
          <w:lang w:val="en-GB"/>
        </w:rPr>
        <w:t xml:space="preserve"> necessary for the TSOs to facilitate market activities are not available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642"/>
        <w:gridCol w:w="1882"/>
        <w:gridCol w:w="1427"/>
        <w:gridCol w:w="1461"/>
        <w:gridCol w:w="1464"/>
        <w:gridCol w:w="1495"/>
        <w:gridCol w:w="1447"/>
        <w:gridCol w:w="1467"/>
      </w:tblGrid>
      <w:tr w:rsidR="00CE7AE7" w:rsidRPr="00067BBE" w14:paraId="7293EC28" w14:textId="77777777" w:rsidTr="006B016D">
        <w:tc>
          <w:tcPr>
            <w:tcW w:w="493" w:type="pct"/>
            <w:shd w:val="clear" w:color="auto" w:fill="C6D9F1" w:themeFill="text2" w:themeFillTint="33"/>
          </w:tcPr>
          <w:p w14:paraId="557CAF87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2B66B12D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DA7CABD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pct"/>
            <w:gridSpan w:val="6"/>
            <w:shd w:val="clear" w:color="auto" w:fill="C6D9F1" w:themeFill="text2" w:themeFillTint="33"/>
          </w:tcPr>
          <w:p w14:paraId="491981C3" w14:textId="77777777" w:rsidR="00CE7AE7" w:rsidRPr="00D011F0" w:rsidRDefault="00CE7AE7" w:rsidP="006B016D">
            <w:pPr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Market activities that may be suspended (and restored) according to NC ER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Article  35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>.2</w:t>
            </w:r>
          </w:p>
        </w:tc>
      </w:tr>
      <w:tr w:rsidR="00CE7AE7" w:rsidRPr="00067BBE" w14:paraId="553BD205" w14:textId="77777777" w:rsidTr="006B016D">
        <w:tc>
          <w:tcPr>
            <w:tcW w:w="49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D79DF6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D3C1B4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BB0057" w14:textId="77777777" w:rsidR="00CE7AE7" w:rsidRPr="00B1175D" w:rsidRDefault="00CE7AE7" w:rsidP="006B01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57" w:type="pct"/>
            <w:shd w:val="clear" w:color="auto" w:fill="C6D9F1" w:themeFill="text2" w:themeFillTint="33"/>
          </w:tcPr>
          <w:p w14:paraId="0408DD74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Pr="00801FCB">
              <w:rPr>
                <w:b/>
                <w:lang w:val="en-GB"/>
              </w:rPr>
              <w:t>provision of cross zonal capacity for capacity allocation</w:t>
            </w:r>
          </w:p>
        </w:tc>
        <w:tc>
          <w:tcPr>
            <w:tcW w:w="569" w:type="pct"/>
            <w:shd w:val="clear" w:color="auto" w:fill="C6D9F1" w:themeFill="text2" w:themeFillTint="33"/>
          </w:tcPr>
          <w:p w14:paraId="6324686E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submission by a balancing service provider of balancing capacity and balancing energy bids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06C73422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by a balance responsible party of a balanced position at the end of the day-ahead timeframe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14:paraId="2327AC9C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modifications of the position of balance responsible parties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44158F40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the</w:t>
            </w:r>
            <w:r w:rsidRPr="00801FCB">
              <w:rPr>
                <w:b/>
                <w:lang w:val="en-GB"/>
              </w:rPr>
              <w:t xml:space="preserve"> provision of </w:t>
            </w:r>
            <w:proofErr w:type="gramStart"/>
            <w:r w:rsidRPr="00801FCB">
              <w:rPr>
                <w:b/>
                <w:lang w:val="en-GB"/>
              </w:rPr>
              <w:t>schedules  mentioned</w:t>
            </w:r>
            <w:proofErr w:type="gramEnd"/>
            <w:r w:rsidRPr="00801FCB">
              <w:rPr>
                <w:b/>
                <w:lang w:val="en-GB"/>
              </w:rPr>
              <w:t xml:space="preserve"> in GLSO Article 111(1) and 111(2)</w:t>
            </w:r>
          </w:p>
        </w:tc>
        <w:tc>
          <w:tcPr>
            <w:tcW w:w="570" w:type="pct"/>
            <w:shd w:val="clear" w:color="auto" w:fill="C6D9F1" w:themeFill="text2" w:themeFillTint="33"/>
          </w:tcPr>
          <w:p w14:paraId="0A255508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o</w:t>
            </w:r>
            <w:r w:rsidRPr="00801FCB">
              <w:rPr>
                <w:b/>
                <w:lang w:val="en-GB"/>
              </w:rPr>
              <w:t>ther relevant market activities the suspension of which is deemed necessary to preserve and/or restore the system</w:t>
            </w:r>
          </w:p>
        </w:tc>
      </w:tr>
      <w:tr w:rsidR="00CE7AE7" w:rsidRPr="00067BBE" w14:paraId="1AF1A9B8" w14:textId="77777777" w:rsidTr="006B016D">
        <w:tc>
          <w:tcPr>
            <w:tcW w:w="493" w:type="pct"/>
            <w:vMerge w:val="restart"/>
            <w:shd w:val="clear" w:color="auto" w:fill="C6D9F1" w:themeFill="text2" w:themeFillTint="33"/>
          </w:tcPr>
          <w:p w14:paraId="72F4F9E8" w14:textId="77777777" w:rsidR="00CE7AE7" w:rsidRPr="00D011F0" w:rsidRDefault="00CE7AE7" w:rsidP="006B016D">
            <w:pPr>
              <w:spacing w:before="360"/>
              <w:rPr>
                <w:b/>
                <w:sz w:val="32"/>
                <w:szCs w:val="32"/>
                <w:lang w:val="en-GB"/>
              </w:rPr>
            </w:pPr>
            <w:r w:rsidRPr="00D011F0">
              <w:rPr>
                <w:b/>
                <w:sz w:val="32"/>
                <w:szCs w:val="32"/>
                <w:lang w:val="en-GB"/>
              </w:rPr>
              <w:t xml:space="preserve">Factors that should be </w:t>
            </w:r>
            <w:proofErr w:type="gramStart"/>
            <w:r w:rsidRPr="00D011F0">
              <w:rPr>
                <w:b/>
                <w:sz w:val="32"/>
                <w:szCs w:val="32"/>
                <w:lang w:val="en-GB"/>
              </w:rPr>
              <w:t>taken into account</w:t>
            </w:r>
            <w:proofErr w:type="gramEnd"/>
            <w:r w:rsidRPr="00D011F0">
              <w:rPr>
                <w:b/>
                <w:sz w:val="32"/>
                <w:szCs w:val="32"/>
                <w:lang w:val="en-GB"/>
              </w:rPr>
              <w:t xml:space="preserve"> when developing rules for suspension </w:t>
            </w:r>
            <w:r w:rsidRPr="00D011F0">
              <w:rPr>
                <w:b/>
                <w:sz w:val="32"/>
                <w:szCs w:val="32"/>
                <w:lang w:val="en-GB"/>
              </w:rPr>
              <w:lastRenderedPageBreak/>
              <w:t>and restoration of market activities according to NC ER Article 36.4</w:t>
            </w: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3B242F4B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lastRenderedPageBreak/>
              <w:t>percentage of load disconnection in the LFC area corresponding to: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76372D61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inability of a significant share of balancing responsible parties to maintain their balance</w:t>
            </w:r>
          </w:p>
        </w:tc>
        <w:tc>
          <w:tcPr>
            <w:tcW w:w="557" w:type="pct"/>
          </w:tcPr>
          <w:p w14:paraId="3DD4D9F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29BB097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767C6B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333E5CA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A7633A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3A8B9EE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16F86159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408AB8B" w14:textId="77777777" w:rsidR="00CE7AE7" w:rsidRDefault="00CE7AE7" w:rsidP="006B016D">
            <w:pPr>
              <w:spacing w:before="360"/>
              <w:rPr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1BA9DA13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5E1FD7ED" w14:textId="77777777" w:rsidR="00CE7AE7" w:rsidRPr="00801FCB" w:rsidRDefault="00CE7AE7" w:rsidP="006B016D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necessity for the TSO not to follow the usual balancing processes to perform an efficient re-energization</w:t>
            </w:r>
          </w:p>
        </w:tc>
        <w:tc>
          <w:tcPr>
            <w:tcW w:w="557" w:type="pct"/>
          </w:tcPr>
          <w:p w14:paraId="06AB94D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7F78B0B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42190A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26B6A3C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7B66FC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CEACE47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0265D5EE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1BB47DB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shd w:val="clear" w:color="auto" w:fill="C6D9F1" w:themeFill="text2" w:themeFillTint="33"/>
          </w:tcPr>
          <w:p w14:paraId="18C08310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percentage of generation disconnection in the LFC area corresponding to: 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2C70C2DF" w14:textId="77777777" w:rsidR="00CE7AE7" w:rsidRPr="006D7FFE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inability of a significant share of balancing responsible parties to maintain their balance</w:t>
            </w:r>
          </w:p>
        </w:tc>
        <w:tc>
          <w:tcPr>
            <w:tcW w:w="557" w:type="pct"/>
          </w:tcPr>
          <w:p w14:paraId="7CF0B87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39E22DD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5062F6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4955847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0C8BC3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FE8D5FB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63A297B3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7CCB37A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230E02A7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share and geographic distribution of unavailable transmission system elements corresponding to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6B88750A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801FCB">
              <w:rPr>
                <w:lang w:val="en-GB"/>
              </w:rPr>
              <w:t>desynchronization of a significant part of the LFC area rendering the usual balancing processes counterproductive</w:t>
            </w:r>
          </w:p>
        </w:tc>
        <w:tc>
          <w:tcPr>
            <w:tcW w:w="557" w:type="pct"/>
          </w:tcPr>
          <w:p w14:paraId="6CFEFF8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D9F05C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8ACEA9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0CAFCFF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4FCAD46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34470A7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42FD03A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6FA2907B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4A8DB273" w14:textId="77777777" w:rsidR="00CE7AE7" w:rsidRPr="00801FCB" w:rsidRDefault="00CE7AE7" w:rsidP="006B016D">
            <w:pPr>
              <w:rPr>
                <w:b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3903B1AE" w14:textId="77777777" w:rsidR="00CE7AE7" w:rsidRPr="00801FCB" w:rsidRDefault="00CE7AE7" w:rsidP="006B016D">
            <w:pPr>
              <w:rPr>
                <w:sz w:val="24"/>
                <w:szCs w:val="24"/>
                <w:lang w:val="en-GB"/>
              </w:rPr>
            </w:pPr>
            <w:r w:rsidRPr="00801FCB">
              <w:rPr>
                <w:lang w:val="en-GB"/>
              </w:rPr>
              <w:t>the reduction to zero of cross zonal capacity on a bidding zone border(s)</w:t>
            </w:r>
          </w:p>
        </w:tc>
        <w:tc>
          <w:tcPr>
            <w:tcW w:w="557" w:type="pct"/>
          </w:tcPr>
          <w:p w14:paraId="5DC43A2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BF6B64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2BB23F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05FD60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27A3C5AF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0E381F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11828E1A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7F82A064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51502466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>inability of the following affected entities to execute their market activities for reason(s) outside their control: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0A913181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balance responsible parties</w:t>
            </w:r>
          </w:p>
        </w:tc>
        <w:tc>
          <w:tcPr>
            <w:tcW w:w="557" w:type="pct"/>
          </w:tcPr>
          <w:p w14:paraId="7F24CA2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16CEF8C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B2EA78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17DE8FF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50458BA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70AB9B2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5972747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589223E8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978586A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18E4D23F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balancing service providers</w:t>
            </w:r>
          </w:p>
        </w:tc>
        <w:tc>
          <w:tcPr>
            <w:tcW w:w="557" w:type="pct"/>
          </w:tcPr>
          <w:p w14:paraId="1D62788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65B7A5D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1631E0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283A6F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FAA3DC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111F860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4180F5FA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6EB8B65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654F6D11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33181B0A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NEMOs</w:t>
            </w:r>
          </w:p>
        </w:tc>
        <w:tc>
          <w:tcPr>
            <w:tcW w:w="557" w:type="pct"/>
          </w:tcPr>
          <w:p w14:paraId="3ED21DC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1DCC6E20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6A9828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000C0F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7F7BAB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5C2E968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0786798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0B693E55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5F88F36E" w14:textId="77777777" w:rsidR="00CE7AE7" w:rsidRPr="00801FCB" w:rsidRDefault="00CE7AE7" w:rsidP="006B016D">
            <w:pPr>
              <w:spacing w:before="36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23EFB7C7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transmission connected DSOs</w:t>
            </w:r>
          </w:p>
        </w:tc>
        <w:tc>
          <w:tcPr>
            <w:tcW w:w="557" w:type="pct"/>
          </w:tcPr>
          <w:p w14:paraId="3E6A079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04B1EB7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8A33C9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958A9E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097AC11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454F1FDF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65E58913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4CF18091" w14:textId="77777777" w:rsidR="00CE7AE7" w:rsidRPr="00250B90" w:rsidRDefault="00CE7AE7" w:rsidP="006B016D">
            <w:pPr>
              <w:rPr>
                <w:lang w:val="en-GB"/>
              </w:rPr>
            </w:pPr>
          </w:p>
        </w:tc>
        <w:tc>
          <w:tcPr>
            <w:tcW w:w="550" w:type="pct"/>
            <w:vMerge w:val="restart"/>
            <w:shd w:val="clear" w:color="auto" w:fill="C6D9F1" w:themeFill="text2" w:themeFillTint="33"/>
          </w:tcPr>
          <w:p w14:paraId="67DE27EB" w14:textId="77777777" w:rsidR="00CE7AE7" w:rsidRPr="00801FCB" w:rsidRDefault="00CE7AE7" w:rsidP="006B016D">
            <w:pPr>
              <w:rPr>
                <w:b/>
                <w:sz w:val="24"/>
                <w:szCs w:val="24"/>
                <w:lang w:val="en-GB"/>
              </w:rPr>
            </w:pPr>
            <w:r w:rsidRPr="00801FCB">
              <w:rPr>
                <w:b/>
                <w:lang w:val="en-GB"/>
              </w:rPr>
              <w:t xml:space="preserve">absence of properly </w:t>
            </w:r>
            <w:r w:rsidRPr="00801FCB">
              <w:rPr>
                <w:b/>
                <w:lang w:val="en-GB"/>
              </w:rPr>
              <w:lastRenderedPageBreak/>
              <w:t>functioning tools and communication means necessary to perform: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14:paraId="50AE5C21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lastRenderedPageBreak/>
              <w:t xml:space="preserve">the </w:t>
            </w:r>
            <w:proofErr w:type="spellStart"/>
            <w:r w:rsidRPr="00250B90">
              <w:rPr>
                <w:lang w:val="en-GB"/>
              </w:rPr>
              <w:t>singleday</w:t>
            </w:r>
            <w:proofErr w:type="spellEnd"/>
            <w:r w:rsidRPr="00250B90">
              <w:rPr>
                <w:lang w:val="en-GB"/>
              </w:rPr>
              <w:t xml:space="preserve">-ahead or intraday </w:t>
            </w:r>
            <w:r w:rsidRPr="00250B90">
              <w:rPr>
                <w:lang w:val="en-GB"/>
              </w:rPr>
              <w:lastRenderedPageBreak/>
              <w:t>coupling or any explicit capacity allocation mechanism</w:t>
            </w:r>
          </w:p>
        </w:tc>
        <w:tc>
          <w:tcPr>
            <w:tcW w:w="557" w:type="pct"/>
          </w:tcPr>
          <w:p w14:paraId="4C113E3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4C8BE6B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E1E0F09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523393F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1FC0B12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E588B5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4225AFB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31C89843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77860D91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6CC35B99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frequency restoration process</w:t>
            </w:r>
          </w:p>
        </w:tc>
        <w:tc>
          <w:tcPr>
            <w:tcW w:w="557" w:type="pct"/>
          </w:tcPr>
          <w:p w14:paraId="1D9DFA64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09B80E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8AD0F0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222796E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63D5F243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1BBF153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14:paraId="7235F27B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3AD363B6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5AA52198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0C06B451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t>the reserve replacement process</w:t>
            </w:r>
          </w:p>
        </w:tc>
        <w:tc>
          <w:tcPr>
            <w:tcW w:w="557" w:type="pct"/>
          </w:tcPr>
          <w:p w14:paraId="784030B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199932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BB0164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7D52FE46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3F1BFE2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1C5B3611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409B14C4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AA43D64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29D3DD9A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3FE9203B" w14:textId="77777777" w:rsidR="00CE7AE7" w:rsidRPr="00250B90" w:rsidRDefault="00CE7AE7" w:rsidP="006B016D">
            <w:pPr>
              <w:rPr>
                <w:sz w:val="24"/>
                <w:szCs w:val="24"/>
                <w:lang w:val="en-GB"/>
              </w:rPr>
            </w:pPr>
            <w:r w:rsidRPr="00250B90">
              <w:rPr>
                <w:lang w:val="en-GB"/>
              </w:rPr>
              <w:t>the provision by balance responsible party of a balanced position in day ahead and the provision of change of its position</w:t>
            </w:r>
          </w:p>
        </w:tc>
        <w:tc>
          <w:tcPr>
            <w:tcW w:w="557" w:type="pct"/>
          </w:tcPr>
          <w:p w14:paraId="6D86559E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558F749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B79087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D47ADBA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1E09E65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51298333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  <w:tr w:rsidR="00CE7AE7" w:rsidRPr="00067BBE" w14:paraId="39BC807E" w14:textId="77777777" w:rsidTr="006B016D">
        <w:tc>
          <w:tcPr>
            <w:tcW w:w="493" w:type="pct"/>
            <w:vMerge/>
            <w:shd w:val="clear" w:color="auto" w:fill="C6D9F1" w:themeFill="text2" w:themeFillTint="33"/>
          </w:tcPr>
          <w:p w14:paraId="187889DC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50" w:type="pct"/>
            <w:vMerge/>
            <w:shd w:val="clear" w:color="auto" w:fill="C6D9F1" w:themeFill="text2" w:themeFillTint="33"/>
          </w:tcPr>
          <w:p w14:paraId="634D6A8D" w14:textId="77777777" w:rsidR="00CE7AE7" w:rsidRDefault="00CE7AE7" w:rsidP="006B016D">
            <w:pPr>
              <w:spacing w:before="360"/>
              <w:rPr>
                <w:sz w:val="24"/>
                <w:szCs w:val="24"/>
                <w:lang w:val="en-GB"/>
              </w:rPr>
            </w:pPr>
          </w:p>
        </w:tc>
        <w:tc>
          <w:tcPr>
            <w:tcW w:w="545" w:type="pct"/>
            <w:shd w:val="clear" w:color="auto" w:fill="C6D9F1" w:themeFill="text2" w:themeFillTint="33"/>
          </w:tcPr>
          <w:p w14:paraId="2BFD94D1" w14:textId="77777777" w:rsidR="00CE7AE7" w:rsidRDefault="00CE7AE7" w:rsidP="006B016D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543B18">
              <w:rPr>
                <w:lang w:val="en-GB"/>
              </w:rPr>
              <w:t xml:space="preserve">provision of </w:t>
            </w:r>
            <w:proofErr w:type="gramStart"/>
            <w:r w:rsidRPr="00543B18">
              <w:rPr>
                <w:lang w:val="en-GB"/>
              </w:rPr>
              <w:t>schedules</w:t>
            </w:r>
            <w:r>
              <w:rPr>
                <w:lang w:val="en-GB"/>
              </w:rPr>
              <w:t xml:space="preserve"> </w:t>
            </w:r>
            <w:r w:rsidRPr="00543B18">
              <w:rPr>
                <w:lang w:val="en-GB"/>
              </w:rPr>
              <w:t xml:space="preserve"> mentioned</w:t>
            </w:r>
            <w:proofErr w:type="gramEnd"/>
            <w:r w:rsidRPr="00543B18">
              <w:rPr>
                <w:lang w:val="en-GB"/>
              </w:rPr>
              <w:t xml:space="preserve"> in GLSO Article 111(1) </w:t>
            </w:r>
            <w:r>
              <w:rPr>
                <w:lang w:val="en-GB"/>
              </w:rPr>
              <w:t>and</w:t>
            </w:r>
            <w:r w:rsidRPr="00543B18">
              <w:rPr>
                <w:lang w:val="en-GB"/>
              </w:rPr>
              <w:t xml:space="preserve"> 111(2)</w:t>
            </w:r>
          </w:p>
        </w:tc>
        <w:tc>
          <w:tcPr>
            <w:tcW w:w="557" w:type="pct"/>
          </w:tcPr>
          <w:p w14:paraId="3A42D77D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9" w:type="pct"/>
          </w:tcPr>
          <w:p w14:paraId="3151ADC7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25847D31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81" w:type="pct"/>
          </w:tcPr>
          <w:p w14:paraId="66C388BB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64" w:type="pct"/>
          </w:tcPr>
          <w:p w14:paraId="76615628" w14:textId="77777777" w:rsidR="00CE7AE7" w:rsidRPr="001D17B6" w:rsidRDefault="00CE7AE7" w:rsidP="006B016D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F332FC6" w14:textId="77777777" w:rsidR="00CE7AE7" w:rsidRPr="001D17B6" w:rsidRDefault="00CE7AE7" w:rsidP="006B016D">
            <w:pPr>
              <w:rPr>
                <w:lang w:val="en-GB"/>
              </w:rPr>
            </w:pPr>
          </w:p>
        </w:tc>
      </w:tr>
    </w:tbl>
    <w:p w14:paraId="0F9A3925" w14:textId="77777777" w:rsidR="00CE7AE7" w:rsidRPr="00B1175D" w:rsidRDefault="00CE7AE7" w:rsidP="00CE7AE7">
      <w:pPr>
        <w:spacing w:before="360"/>
        <w:rPr>
          <w:sz w:val="24"/>
          <w:szCs w:val="24"/>
          <w:lang w:val="en-GB"/>
        </w:rPr>
      </w:pPr>
    </w:p>
    <w:p w14:paraId="49BFCA08" w14:textId="77777777" w:rsidR="00330497" w:rsidRPr="00330497" w:rsidRDefault="00330497" w:rsidP="00C30A91">
      <w:pPr>
        <w:rPr>
          <w:sz w:val="24"/>
          <w:szCs w:val="24"/>
          <w:lang w:val="en-GB"/>
        </w:rPr>
      </w:pPr>
    </w:p>
    <w:sectPr w:rsidR="00330497" w:rsidRPr="00330497" w:rsidSect="00CE7A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3D5E" w14:textId="77777777" w:rsidR="00D067A6" w:rsidRDefault="00D067A6" w:rsidP="00166B7F">
      <w:pPr>
        <w:spacing w:after="0" w:line="240" w:lineRule="auto"/>
      </w:pPr>
      <w:r>
        <w:separator/>
      </w:r>
    </w:p>
  </w:endnote>
  <w:endnote w:type="continuationSeparator" w:id="0">
    <w:p w14:paraId="2C48323C" w14:textId="77777777" w:rsidR="00D067A6" w:rsidRDefault="00D067A6" w:rsidP="0016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529A" w14:textId="77777777" w:rsidR="00D067A6" w:rsidRDefault="00D067A6" w:rsidP="00166B7F">
      <w:pPr>
        <w:spacing w:after="0" w:line="240" w:lineRule="auto"/>
      </w:pPr>
      <w:r>
        <w:separator/>
      </w:r>
    </w:p>
  </w:footnote>
  <w:footnote w:type="continuationSeparator" w:id="0">
    <w:p w14:paraId="7BEC52BF" w14:textId="77777777" w:rsidR="00D067A6" w:rsidRDefault="00D067A6" w:rsidP="00166B7F">
      <w:pPr>
        <w:spacing w:after="0" w:line="240" w:lineRule="auto"/>
      </w:pPr>
      <w:r>
        <w:continuationSeparator/>
      </w:r>
    </w:p>
  </w:footnote>
  <w:footnote w:id="1">
    <w:p w14:paraId="6F95C2DF" w14:textId="3A3E4656" w:rsidR="00415EB0" w:rsidRPr="00124B05" w:rsidRDefault="00415EB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24B05">
        <w:rPr>
          <w:lang w:val="en-GB"/>
        </w:rPr>
        <w:t xml:space="preserve"> There is one significant difference between</w:t>
      </w:r>
      <w:r w:rsidR="008C0D3B" w:rsidRPr="00124B05">
        <w:rPr>
          <w:lang w:val="en-GB"/>
        </w:rPr>
        <w:t xml:space="preserve"> single day-ahead coupling</w:t>
      </w:r>
      <w:r w:rsidRPr="00124B05">
        <w:rPr>
          <w:lang w:val="en-GB"/>
        </w:rPr>
        <w:t xml:space="preserve"> suspension and typical decoupling, in case of su</w:t>
      </w:r>
      <w:r w:rsidR="00B555EA">
        <w:rPr>
          <w:lang w:val="en-GB"/>
        </w:rPr>
        <w:t>s</w:t>
      </w:r>
      <w:r w:rsidRPr="00124B05">
        <w:rPr>
          <w:lang w:val="en-GB"/>
        </w:rPr>
        <w:t xml:space="preserve">pension of single day coupling the price shall not be calculated for bidding zones and market time units </w:t>
      </w:r>
      <w:r w:rsidR="006350EF" w:rsidRPr="00124B05">
        <w:rPr>
          <w:lang w:val="en-GB"/>
        </w:rPr>
        <w:t>for which suspension applies, in case of decupling price is typically calculated.</w:t>
      </w:r>
    </w:p>
  </w:footnote>
  <w:footnote w:id="2">
    <w:p w14:paraId="692AFEA0" w14:textId="75394850" w:rsidR="00166B7F" w:rsidRPr="00166B7F" w:rsidRDefault="00166B7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24B05">
        <w:rPr>
          <w:lang w:val="en-GB"/>
        </w:rPr>
        <w:t xml:space="preserve"> </w:t>
      </w:r>
      <w:r w:rsidRPr="00166B7F">
        <w:rPr>
          <w:lang w:val="en-GB"/>
        </w:rPr>
        <w:t>There are different approaches for such notifi</w:t>
      </w:r>
      <w:r>
        <w:rPr>
          <w:lang w:val="en-GB"/>
        </w:rPr>
        <w:t>cations in different countries. In SO GL such notifications are collectively referred as “submission of internal trade commercial schedules”.</w:t>
      </w:r>
    </w:p>
  </w:footnote>
  <w:footnote w:id="3">
    <w:p w14:paraId="191AB9A2" w14:textId="34C1B6DC" w:rsidR="00A65C2C" w:rsidRPr="00124B05" w:rsidRDefault="00A65C2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24B05">
        <w:rPr>
          <w:lang w:val="en-GB"/>
        </w:rPr>
        <w:t xml:space="preserve"> Please</w:t>
      </w:r>
      <w:r w:rsidR="00B555EA">
        <w:rPr>
          <w:lang w:val="en-GB"/>
        </w:rPr>
        <w:t xml:space="preserve"> bear </w:t>
      </w:r>
      <w:proofErr w:type="gramStart"/>
      <w:r w:rsidR="00B555EA">
        <w:rPr>
          <w:lang w:val="en-GB"/>
        </w:rPr>
        <w:t xml:space="preserve">in </w:t>
      </w:r>
      <w:r w:rsidRPr="00124B05">
        <w:rPr>
          <w:lang w:val="en-GB"/>
        </w:rPr>
        <w:t xml:space="preserve"> mind</w:t>
      </w:r>
      <w:proofErr w:type="gramEnd"/>
      <w:r w:rsidRPr="00124B05">
        <w:rPr>
          <w:lang w:val="en-GB"/>
        </w:rPr>
        <w:t xml:space="preserve">, that  it is possible to restore </w:t>
      </w:r>
      <w:r>
        <w:rPr>
          <w:lang w:val="en-GB"/>
        </w:rPr>
        <w:t>TSOs processes supporting market activities in restoration system state</w:t>
      </w:r>
      <w:r w:rsidR="00B555EA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4C4"/>
    <w:multiLevelType w:val="hybridMultilevel"/>
    <w:tmpl w:val="E166C17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DB9"/>
    <w:multiLevelType w:val="hybridMultilevel"/>
    <w:tmpl w:val="CA6663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7E9A"/>
    <w:multiLevelType w:val="hybridMultilevel"/>
    <w:tmpl w:val="77267D4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071E7"/>
    <w:multiLevelType w:val="hybridMultilevel"/>
    <w:tmpl w:val="F76C7AB2"/>
    <w:lvl w:ilvl="0" w:tplc="949C89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7F5A"/>
    <w:multiLevelType w:val="hybridMultilevel"/>
    <w:tmpl w:val="CD688FC8"/>
    <w:lvl w:ilvl="0" w:tplc="B5F62FF8">
      <w:start w:val="3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0E70"/>
    <w:multiLevelType w:val="hybridMultilevel"/>
    <w:tmpl w:val="2626D164"/>
    <w:lvl w:ilvl="0" w:tplc="373C5848">
      <w:start w:val="3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92"/>
    <w:rsid w:val="000248DE"/>
    <w:rsid w:val="00027B34"/>
    <w:rsid w:val="00067BBE"/>
    <w:rsid w:val="00092B05"/>
    <w:rsid w:val="000A1E81"/>
    <w:rsid w:val="000D2B01"/>
    <w:rsid w:val="001162AF"/>
    <w:rsid w:val="00124B05"/>
    <w:rsid w:val="00166B7F"/>
    <w:rsid w:val="00172BBC"/>
    <w:rsid w:val="001B3751"/>
    <w:rsid w:val="001B6282"/>
    <w:rsid w:val="001C5D10"/>
    <w:rsid w:val="001F3D52"/>
    <w:rsid w:val="0025630C"/>
    <w:rsid w:val="002B29AD"/>
    <w:rsid w:val="002B6AC0"/>
    <w:rsid w:val="00330497"/>
    <w:rsid w:val="003757FA"/>
    <w:rsid w:val="003B76D5"/>
    <w:rsid w:val="003E0D56"/>
    <w:rsid w:val="00415EB0"/>
    <w:rsid w:val="00440300"/>
    <w:rsid w:val="004466F1"/>
    <w:rsid w:val="004701D1"/>
    <w:rsid w:val="00473F59"/>
    <w:rsid w:val="00476653"/>
    <w:rsid w:val="004B014B"/>
    <w:rsid w:val="004C70D9"/>
    <w:rsid w:val="004E6D92"/>
    <w:rsid w:val="00500DA3"/>
    <w:rsid w:val="0058186C"/>
    <w:rsid w:val="005A3205"/>
    <w:rsid w:val="006350EF"/>
    <w:rsid w:val="00645F30"/>
    <w:rsid w:val="006505B0"/>
    <w:rsid w:val="00680BFD"/>
    <w:rsid w:val="00716CC5"/>
    <w:rsid w:val="007274DF"/>
    <w:rsid w:val="0076556E"/>
    <w:rsid w:val="00766473"/>
    <w:rsid w:val="007D2698"/>
    <w:rsid w:val="008657DE"/>
    <w:rsid w:val="00871397"/>
    <w:rsid w:val="008C0D3B"/>
    <w:rsid w:val="008C1B64"/>
    <w:rsid w:val="008C20EB"/>
    <w:rsid w:val="008E773D"/>
    <w:rsid w:val="008F3BB6"/>
    <w:rsid w:val="00900233"/>
    <w:rsid w:val="009134E8"/>
    <w:rsid w:val="00924380"/>
    <w:rsid w:val="00964F88"/>
    <w:rsid w:val="00976E6A"/>
    <w:rsid w:val="00985550"/>
    <w:rsid w:val="00991D58"/>
    <w:rsid w:val="009C01F5"/>
    <w:rsid w:val="009D712D"/>
    <w:rsid w:val="00A27FD0"/>
    <w:rsid w:val="00A311C4"/>
    <w:rsid w:val="00A65C2C"/>
    <w:rsid w:val="00A6713D"/>
    <w:rsid w:val="00A71ABC"/>
    <w:rsid w:val="00A75949"/>
    <w:rsid w:val="00A92C30"/>
    <w:rsid w:val="00AA03FA"/>
    <w:rsid w:val="00AB2F19"/>
    <w:rsid w:val="00B301C8"/>
    <w:rsid w:val="00B42381"/>
    <w:rsid w:val="00B535A2"/>
    <w:rsid w:val="00B555EA"/>
    <w:rsid w:val="00B67D6A"/>
    <w:rsid w:val="00BF78F1"/>
    <w:rsid w:val="00C23674"/>
    <w:rsid w:val="00C30A91"/>
    <w:rsid w:val="00C37BD4"/>
    <w:rsid w:val="00C9151C"/>
    <w:rsid w:val="00CA0FDE"/>
    <w:rsid w:val="00CD2F74"/>
    <w:rsid w:val="00CE7AE7"/>
    <w:rsid w:val="00D067A6"/>
    <w:rsid w:val="00D751B7"/>
    <w:rsid w:val="00D85793"/>
    <w:rsid w:val="00D9737F"/>
    <w:rsid w:val="00DA497C"/>
    <w:rsid w:val="00DD16E1"/>
    <w:rsid w:val="00E259F9"/>
    <w:rsid w:val="00E307B6"/>
    <w:rsid w:val="00EA4B55"/>
    <w:rsid w:val="00ED65FF"/>
    <w:rsid w:val="00EE45F9"/>
    <w:rsid w:val="00EF4405"/>
    <w:rsid w:val="00F166DB"/>
    <w:rsid w:val="00F50F5B"/>
    <w:rsid w:val="00FD191F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B37AA"/>
  <w15:docId w15:val="{6A9209C8-964A-435E-848A-A7E84F5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473"/>
    <w:pPr>
      <w:spacing w:after="0" w:line="240" w:lineRule="auto"/>
    </w:pPr>
  </w:style>
  <w:style w:type="table" w:styleId="TableGrid">
    <w:name w:val="Table Grid"/>
    <w:basedOn w:val="TableNormal"/>
    <w:uiPriority w:val="59"/>
    <w:rsid w:val="00CE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6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A32D6-C82B-42E0-801D-720D636A886D}"/>
</file>

<file path=customXml/itemProps2.xml><?xml version="1.0" encoding="utf-8"?>
<ds:datastoreItem xmlns:ds="http://schemas.openxmlformats.org/officeDocument/2006/customXml" ds:itemID="{EF7DDC2E-B020-4C78-9E41-8154C618FB73}"/>
</file>

<file path=customXml/itemProps3.xml><?xml version="1.0" encoding="utf-8"?>
<ds:datastoreItem xmlns:ds="http://schemas.openxmlformats.org/officeDocument/2006/customXml" ds:itemID="{AF62A8BB-6101-47E2-8B5E-C1BAD922DE2C}"/>
</file>

<file path=customXml/itemProps4.xml><?xml version="1.0" encoding="utf-8"?>
<ds:datastoreItem xmlns:ds="http://schemas.openxmlformats.org/officeDocument/2006/customXml" ds:itemID="{751FB178-7F73-4F89-8EA3-79B24593F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2074</Words>
  <Characters>11827</Characters>
  <Application>Microsoft Office Word</Application>
  <DocSecurity>0</DocSecurity>
  <Lines>98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TenneT TSO B.V.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Heus, Fabian</dc:creator>
  <cp:lastModifiedBy>Bruce Riddington</cp:lastModifiedBy>
  <cp:revision>2</cp:revision>
  <dcterms:created xsi:type="dcterms:W3CDTF">2019-04-09T09:53:00Z</dcterms:created>
  <dcterms:modified xsi:type="dcterms:W3CDTF">2019-04-09T09:53:00Z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CNC's">
    <vt:lpwstr>3821;#ER|caa925af-ed9b-446f-9485-28d41193da42</vt:lpwstr>
  </property>
  <property fmtid="{D5CDD505-2E9C-101B-9397-08002B2CF9AE}" pid="4" name="Synchronous area">
    <vt:lpwstr/>
  </property>
  <property fmtid="{D5CDD505-2E9C-101B-9397-08002B2CF9AE}" pid="5" name="Topic">
    <vt:lpwstr>3916;#Market Interaction|39676bf4-2951-4e71-9ca9-63b6f8fb6f6c</vt:lpwstr>
  </property>
  <property fmtid="{D5CDD505-2E9C-101B-9397-08002B2CF9AE}" pid="6" name="Country">
    <vt:lpwstr>2692;#ALL COUNTRIES|b9061434-9124-4eac-b10f-a9665b4d4438</vt:lpwstr>
  </property>
</Properties>
</file>